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B79E" w14:textId="77777777" w:rsidR="009C5771" w:rsidRDefault="00B86049">
      <w:r>
        <w:rPr>
          <w:noProof/>
        </w:rPr>
        <mc:AlternateContent>
          <mc:Choice Requires="wps">
            <w:drawing>
              <wp:anchor distT="0" distB="0" distL="114300" distR="114300" simplePos="0" relativeHeight="251659264" behindDoc="0" locked="0" layoutInCell="1" allowOverlap="1" wp14:anchorId="5667C59B" wp14:editId="6614A2E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67C59B"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0BA385B" wp14:editId="4310DCFD">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536E804" w14:textId="77777777" w:rsidR="009C5771" w:rsidRDefault="009C5771" w:rsidP="009C5771"/>
    <w:p w14:paraId="466F9D19" w14:textId="1C199556" w:rsidR="00F15AB9" w:rsidRPr="004C2337" w:rsidRDefault="00F15AB9" w:rsidP="00F15AB9">
      <w:pPr>
        <w:rPr>
          <w:rFonts w:ascii="Arial" w:hAnsi="Arial" w:cs="Arial"/>
          <w:b/>
          <w:bCs/>
          <w:sz w:val="28"/>
          <w:szCs w:val="28"/>
        </w:rPr>
      </w:pPr>
      <w:r w:rsidRPr="004C2337">
        <w:rPr>
          <w:rFonts w:ascii="Arial" w:hAnsi="Arial" w:cs="Arial"/>
          <w:b/>
          <w:bCs/>
          <w:sz w:val="28"/>
          <w:szCs w:val="28"/>
        </w:rPr>
        <w:t xml:space="preserve">Policy Letter </w:t>
      </w:r>
      <w:r w:rsidR="006A714E">
        <w:rPr>
          <w:rFonts w:ascii="Arial" w:hAnsi="Arial" w:cs="Arial"/>
          <w:b/>
          <w:bCs/>
          <w:sz w:val="28"/>
          <w:szCs w:val="28"/>
        </w:rPr>
        <w:t>0</w:t>
      </w:r>
      <w:r w:rsidR="004802C1">
        <w:rPr>
          <w:rFonts w:ascii="Arial" w:hAnsi="Arial" w:cs="Arial"/>
          <w:b/>
          <w:bCs/>
          <w:sz w:val="28"/>
          <w:szCs w:val="28"/>
        </w:rPr>
        <w:t xml:space="preserve">  </w:t>
      </w:r>
      <w:r w:rsidR="006A714E">
        <w:rPr>
          <w:rFonts w:ascii="Arial" w:hAnsi="Arial" w:cs="Arial"/>
          <w:b/>
          <w:bCs/>
          <w:sz w:val="28"/>
          <w:szCs w:val="28"/>
        </w:rPr>
        <w:t>-20</w:t>
      </w:r>
      <w:r w:rsidR="004802C1">
        <w:rPr>
          <w:rFonts w:ascii="Arial" w:hAnsi="Arial" w:cs="Arial"/>
          <w:b/>
          <w:bCs/>
          <w:sz w:val="28"/>
          <w:szCs w:val="28"/>
        </w:rPr>
        <w:t>21</w:t>
      </w:r>
      <w:r w:rsidR="00EF5CD1">
        <w:rPr>
          <w:rFonts w:ascii="Arial" w:hAnsi="Arial" w:cs="Arial"/>
          <w:b/>
          <w:bCs/>
          <w:sz w:val="28"/>
          <w:szCs w:val="28"/>
        </w:rPr>
        <w:t xml:space="preserve">      </w:t>
      </w:r>
    </w:p>
    <w:p w14:paraId="42EA9209" w14:textId="77777777" w:rsidR="00F15AB9" w:rsidRPr="004C2337" w:rsidRDefault="00F15AB9" w:rsidP="00F15AB9">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Incentives</w:t>
      </w:r>
      <w:r w:rsidRPr="004C2337">
        <w:rPr>
          <w:rFonts w:ascii="Arial" w:hAnsi="Arial" w:cs="Arial"/>
          <w:b/>
          <w:bCs/>
          <w:sz w:val="28"/>
          <w:szCs w:val="28"/>
        </w:rPr>
        <w:t xml:space="preserve"> </w:t>
      </w:r>
      <w:r>
        <w:rPr>
          <w:rFonts w:ascii="Arial" w:hAnsi="Arial" w:cs="Arial"/>
          <w:noProof/>
        </w:rPr>
        <mc:AlternateContent>
          <mc:Choice Requires="wps">
            <w:drawing>
              <wp:anchor distT="0" distB="0" distL="114300" distR="114300" simplePos="0" relativeHeight="251661312" behindDoc="1" locked="1" layoutInCell="0" allowOverlap="1" wp14:anchorId="78FABF42" wp14:editId="46882FA7">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F2BA"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3BF147D3" w14:textId="77777777" w:rsidR="00F15AB9" w:rsidRPr="004C2337" w:rsidRDefault="00F15AB9" w:rsidP="00F15AB9">
      <w:pPr>
        <w:rPr>
          <w:rFonts w:ascii="Arial" w:hAnsi="Arial" w:cs="Arial"/>
          <w:b/>
          <w:bCs/>
        </w:rPr>
      </w:pPr>
    </w:p>
    <w:p w14:paraId="325D3A5A" w14:textId="77777777" w:rsidR="00F15AB9" w:rsidRPr="004C2337" w:rsidRDefault="00F15AB9" w:rsidP="00F15AB9">
      <w:pPr>
        <w:rPr>
          <w:rFonts w:ascii="Arial" w:hAnsi="Arial" w:cs="Arial"/>
          <w:b/>
        </w:rPr>
      </w:pPr>
      <w:r w:rsidRPr="004C2337">
        <w:rPr>
          <w:rFonts w:ascii="Arial" w:hAnsi="Arial" w:cs="Arial"/>
          <w:b/>
        </w:rPr>
        <w:t>PURPOSE</w:t>
      </w:r>
    </w:p>
    <w:p w14:paraId="3D945A39" w14:textId="77777777" w:rsidR="00F15AB9" w:rsidRPr="004C2337" w:rsidRDefault="00F15AB9" w:rsidP="00F15AB9">
      <w:pPr>
        <w:ind w:left="720"/>
        <w:rPr>
          <w:rFonts w:ascii="Arial" w:hAnsi="Arial" w:cs="Arial"/>
        </w:rPr>
      </w:pPr>
    </w:p>
    <w:p w14:paraId="7F561A24" w14:textId="525151D1" w:rsidR="00F15AB9" w:rsidRDefault="00F15AB9" w:rsidP="00F15AB9">
      <w:pPr>
        <w:rPr>
          <w:rFonts w:ascii="Arial" w:hAnsi="Arial" w:cs="Arial"/>
          <w:sz w:val="24"/>
          <w:szCs w:val="24"/>
        </w:rPr>
      </w:pPr>
      <w:r w:rsidRPr="00756400">
        <w:rPr>
          <w:rFonts w:ascii="Arial" w:hAnsi="Arial" w:cs="Arial"/>
          <w:sz w:val="24"/>
          <w:szCs w:val="24"/>
        </w:rPr>
        <w:t>The purpose of this policy is to provide Incentives to Workforce Innovation and Opportunity Act (WIOA) and Comprehensive Case Management and Employment Program (CCMEP) eligible youth that encourages and motivates these youth to attain specific program goals and positive outcomes</w:t>
      </w:r>
      <w:r w:rsidR="001B3571" w:rsidRPr="00756400">
        <w:rPr>
          <w:rFonts w:ascii="Arial" w:hAnsi="Arial" w:cs="Arial"/>
          <w:sz w:val="24"/>
          <w:szCs w:val="24"/>
        </w:rPr>
        <w:t xml:space="preserve"> while enrolled in</w:t>
      </w:r>
      <w:r w:rsidRPr="00756400">
        <w:rPr>
          <w:rFonts w:ascii="Arial" w:hAnsi="Arial" w:cs="Arial"/>
          <w:sz w:val="24"/>
          <w:szCs w:val="24"/>
        </w:rPr>
        <w:t xml:space="preserve"> </w:t>
      </w:r>
      <w:r w:rsidR="001B3571" w:rsidRPr="00756400">
        <w:rPr>
          <w:rFonts w:ascii="Arial" w:hAnsi="Arial" w:cs="Arial"/>
          <w:sz w:val="24"/>
          <w:szCs w:val="24"/>
        </w:rPr>
        <w:t>training, educational, and work experience activities.</w:t>
      </w:r>
    </w:p>
    <w:p w14:paraId="2535C453" w14:textId="77777777" w:rsidR="00F15AB9" w:rsidRPr="004C2337" w:rsidRDefault="00F15AB9" w:rsidP="00F15AB9">
      <w:pPr>
        <w:rPr>
          <w:rFonts w:ascii="Arial" w:hAnsi="Arial" w:cs="Arial"/>
        </w:rPr>
      </w:pPr>
    </w:p>
    <w:p w14:paraId="1AB977B3" w14:textId="77777777" w:rsidR="00F15AB9" w:rsidRPr="004C2337" w:rsidRDefault="00F15AB9" w:rsidP="00F15AB9">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831D5CF" w14:textId="77777777" w:rsidR="00F15AB9" w:rsidRPr="00756400" w:rsidRDefault="00F15AB9" w:rsidP="00756400">
      <w:pPr>
        <w:ind w:firstLine="720"/>
        <w:rPr>
          <w:rFonts w:ascii="Arial" w:hAnsi="Arial" w:cs="Arial"/>
          <w:sz w:val="24"/>
          <w:szCs w:val="24"/>
        </w:rPr>
      </w:pPr>
    </w:p>
    <w:p w14:paraId="0AE4407E" w14:textId="504B7641" w:rsidR="00F15AB9" w:rsidRPr="00756400" w:rsidRDefault="00F15AB9" w:rsidP="00F15AB9">
      <w:pPr>
        <w:ind w:firstLine="720"/>
        <w:rPr>
          <w:rFonts w:ascii="Arial" w:hAnsi="Arial" w:cs="Arial"/>
          <w:sz w:val="24"/>
          <w:szCs w:val="24"/>
        </w:rPr>
      </w:pPr>
      <w:r w:rsidRPr="000B3E80">
        <w:rPr>
          <w:rFonts w:ascii="Arial" w:hAnsi="Arial" w:cs="Arial"/>
          <w:sz w:val="24"/>
          <w:szCs w:val="24"/>
        </w:rPr>
        <w:t>Motion</w:t>
      </w:r>
      <w:r w:rsidR="000B3E80" w:rsidRPr="000B3E80">
        <w:rPr>
          <w:rFonts w:ascii="Arial" w:hAnsi="Arial" w:cs="Arial"/>
          <w:sz w:val="24"/>
          <w:szCs w:val="24"/>
        </w:rPr>
        <w:t xml:space="preserve"> </w:t>
      </w:r>
      <w:r w:rsidR="004802C1">
        <w:rPr>
          <w:rFonts w:ascii="Arial" w:hAnsi="Arial" w:cs="Arial"/>
          <w:sz w:val="24"/>
          <w:szCs w:val="24"/>
        </w:rPr>
        <w:t>__</w:t>
      </w:r>
      <w:r w:rsidR="000B3E80" w:rsidRPr="000B3E80">
        <w:rPr>
          <w:rFonts w:ascii="Arial" w:hAnsi="Arial" w:cs="Arial"/>
          <w:sz w:val="24"/>
          <w:szCs w:val="24"/>
        </w:rPr>
        <w:t>-</w:t>
      </w:r>
      <w:r w:rsidR="00EF5CD1" w:rsidRPr="000B3E80">
        <w:rPr>
          <w:rFonts w:ascii="Arial" w:hAnsi="Arial" w:cs="Arial"/>
          <w:sz w:val="24"/>
          <w:szCs w:val="24"/>
        </w:rPr>
        <w:t>20</w:t>
      </w:r>
      <w:r w:rsidR="004802C1">
        <w:rPr>
          <w:rFonts w:ascii="Arial" w:hAnsi="Arial" w:cs="Arial"/>
          <w:sz w:val="24"/>
          <w:szCs w:val="24"/>
        </w:rPr>
        <w:t>21</w:t>
      </w:r>
      <w:r w:rsidRPr="000B3E80">
        <w:rPr>
          <w:rFonts w:ascii="Arial" w:hAnsi="Arial" w:cs="Arial"/>
          <w:sz w:val="24"/>
          <w:szCs w:val="24"/>
        </w:rPr>
        <w:t xml:space="preserve"> approved on </w:t>
      </w:r>
      <w:r w:rsidR="004802C1">
        <w:rPr>
          <w:rFonts w:ascii="Arial" w:hAnsi="Arial" w:cs="Arial"/>
          <w:sz w:val="24"/>
          <w:szCs w:val="24"/>
        </w:rPr>
        <w:t>September 17, 2021</w:t>
      </w:r>
    </w:p>
    <w:p w14:paraId="718AD087" w14:textId="61C2673C" w:rsidR="00F15AB9" w:rsidRPr="00756400" w:rsidRDefault="00F15AB9" w:rsidP="00F15AB9">
      <w:pPr>
        <w:ind w:firstLine="720"/>
        <w:rPr>
          <w:rFonts w:ascii="Arial" w:hAnsi="Arial" w:cs="Arial"/>
          <w:sz w:val="24"/>
          <w:szCs w:val="24"/>
        </w:rPr>
      </w:pPr>
      <w:r w:rsidRPr="00756400">
        <w:rPr>
          <w:rFonts w:ascii="Arial" w:hAnsi="Arial" w:cs="Arial"/>
          <w:sz w:val="24"/>
          <w:szCs w:val="24"/>
        </w:rPr>
        <w:t>This replaces Motion</w:t>
      </w:r>
      <w:r w:rsidR="004802C1">
        <w:rPr>
          <w:rFonts w:ascii="Arial" w:hAnsi="Arial" w:cs="Arial"/>
          <w:sz w:val="24"/>
          <w:szCs w:val="24"/>
        </w:rPr>
        <w:t>s</w:t>
      </w:r>
      <w:r w:rsidRPr="00756400">
        <w:rPr>
          <w:rFonts w:ascii="Arial" w:hAnsi="Arial" w:cs="Arial"/>
          <w:sz w:val="24"/>
          <w:szCs w:val="24"/>
        </w:rPr>
        <w:t xml:space="preserve"> </w:t>
      </w:r>
      <w:r w:rsidR="004802C1">
        <w:rPr>
          <w:rFonts w:ascii="Arial" w:hAnsi="Arial" w:cs="Arial"/>
          <w:sz w:val="24"/>
          <w:szCs w:val="24"/>
        </w:rPr>
        <w:t>19-2019 (5/31/19) and 18-2020 (9/18/20).</w:t>
      </w:r>
    </w:p>
    <w:p w14:paraId="756EB211" w14:textId="77777777" w:rsidR="00F15AB9" w:rsidRPr="00756400" w:rsidRDefault="00F15AB9" w:rsidP="00F15AB9">
      <w:pPr>
        <w:rPr>
          <w:rFonts w:ascii="Arial" w:hAnsi="Arial" w:cs="Arial"/>
          <w:sz w:val="24"/>
          <w:szCs w:val="24"/>
        </w:rPr>
      </w:pPr>
    </w:p>
    <w:p w14:paraId="32B22D17" w14:textId="77777777" w:rsidR="00F15AB9" w:rsidRPr="004C2337" w:rsidRDefault="00F15AB9" w:rsidP="00F15AB9">
      <w:pPr>
        <w:pStyle w:val="Level1"/>
        <w:tabs>
          <w:tab w:val="left" w:pos="-1440"/>
          <w:tab w:val="num" w:pos="720"/>
        </w:tabs>
        <w:rPr>
          <w:rFonts w:ascii="Arial" w:hAnsi="Arial" w:cs="Arial"/>
          <w:b/>
        </w:rPr>
      </w:pPr>
      <w:r>
        <w:rPr>
          <w:rFonts w:ascii="Arial" w:hAnsi="Arial" w:cs="Arial"/>
          <w:b/>
        </w:rPr>
        <w:t>BACKGROUND</w:t>
      </w:r>
    </w:p>
    <w:p w14:paraId="78788905" w14:textId="77777777" w:rsidR="00F15AB9" w:rsidRDefault="00F15AB9" w:rsidP="00F15AB9">
      <w:pPr>
        <w:pStyle w:val="Level1"/>
        <w:numPr>
          <w:ilvl w:val="0"/>
          <w:numId w:val="0"/>
        </w:numPr>
        <w:tabs>
          <w:tab w:val="left" w:pos="-1440"/>
        </w:tabs>
        <w:ind w:left="720"/>
        <w:rPr>
          <w:rFonts w:ascii="Arial" w:hAnsi="Arial" w:cs="Arial"/>
        </w:rPr>
      </w:pPr>
    </w:p>
    <w:p w14:paraId="432D7176" w14:textId="77777777" w:rsidR="00F15AB9" w:rsidRPr="004C2337" w:rsidRDefault="00F15AB9" w:rsidP="00F15AB9">
      <w:pPr>
        <w:pStyle w:val="Level1"/>
        <w:numPr>
          <w:ilvl w:val="0"/>
          <w:numId w:val="0"/>
        </w:numPr>
        <w:tabs>
          <w:tab w:val="left" w:pos="-1440"/>
        </w:tabs>
        <w:ind w:left="720"/>
        <w:rPr>
          <w:rFonts w:ascii="Arial" w:hAnsi="Arial" w:cs="Arial"/>
        </w:rPr>
      </w:pPr>
      <w:r>
        <w:rPr>
          <w:rFonts w:ascii="Arial" w:hAnsi="Arial" w:cs="Arial"/>
        </w:rPr>
        <w:t>Per Workforce Investm</w:t>
      </w:r>
      <w:r w:rsidR="001B3571">
        <w:rPr>
          <w:rFonts w:ascii="Arial" w:hAnsi="Arial" w:cs="Arial"/>
        </w:rPr>
        <w:t xml:space="preserve">ent and Opportunity Act (WIOA), </w:t>
      </w:r>
      <w:r w:rsidR="001B3571" w:rsidRPr="006A714E">
        <w:rPr>
          <w:rFonts w:ascii="Arial" w:hAnsi="Arial" w:cs="Arial"/>
        </w:rPr>
        <w:t>regulations at 20CFR part 681.640,</w:t>
      </w:r>
      <w:r>
        <w:rPr>
          <w:rFonts w:ascii="Arial" w:hAnsi="Arial" w:cs="Arial"/>
        </w:rPr>
        <w:t xml:space="preserve"> incentives are an allowable service that can be provided to WIOA eligible youth for recognition and </w:t>
      </w:r>
      <w:r w:rsidRPr="006A714E">
        <w:rPr>
          <w:rFonts w:ascii="Arial" w:hAnsi="Arial" w:cs="Arial"/>
        </w:rPr>
        <w:t>achievement</w:t>
      </w:r>
      <w:r w:rsidR="001B3571" w:rsidRPr="006A714E">
        <w:rPr>
          <w:rFonts w:ascii="Arial" w:hAnsi="Arial" w:cs="Arial"/>
        </w:rPr>
        <w:t xml:space="preserve"> directly tied to training, education, and work experiences. </w:t>
      </w:r>
      <w:r w:rsidRPr="006A714E">
        <w:rPr>
          <w:rFonts w:ascii="Arial" w:hAnsi="Arial" w:cs="Arial"/>
        </w:rPr>
        <w:t>CCMEP</w:t>
      </w:r>
      <w:r>
        <w:rPr>
          <w:rFonts w:ascii="Arial" w:hAnsi="Arial" w:cs="Arial"/>
        </w:rPr>
        <w:t xml:space="preserve"> youth participants are also eligible for these performance based incentives. </w:t>
      </w:r>
      <w:r w:rsidR="001B3571" w:rsidRPr="00756400">
        <w:rPr>
          <w:rFonts w:ascii="Arial" w:hAnsi="Arial" w:cs="Arial"/>
        </w:rPr>
        <w:t>CCMEP Youth participants funded under the TANF program are also potentially eligible for these performance incentives, in accordance with the incentive policy of the lead agency that is carrying out the TANF services in a county.</w:t>
      </w:r>
    </w:p>
    <w:p w14:paraId="4166A464" w14:textId="77777777" w:rsidR="00F15AB9" w:rsidRPr="004C2337" w:rsidRDefault="00F15AB9" w:rsidP="00F15AB9">
      <w:pPr>
        <w:rPr>
          <w:rFonts w:ascii="Arial" w:hAnsi="Arial" w:cs="Arial"/>
        </w:rPr>
      </w:pPr>
    </w:p>
    <w:p w14:paraId="19BD7915" w14:textId="77777777" w:rsidR="00F15AB9" w:rsidRDefault="00F15AB9" w:rsidP="00F15AB9">
      <w:pPr>
        <w:pStyle w:val="Level1"/>
        <w:rPr>
          <w:rFonts w:ascii="Arial" w:hAnsi="Arial" w:cs="Arial"/>
          <w:b/>
          <w:bCs/>
        </w:rPr>
      </w:pPr>
      <w:r>
        <w:rPr>
          <w:rFonts w:ascii="Arial" w:hAnsi="Arial" w:cs="Arial"/>
          <w:b/>
          <w:bCs/>
        </w:rPr>
        <w:t>IMPLEMENTATION</w:t>
      </w:r>
    </w:p>
    <w:p w14:paraId="14DACB8F" w14:textId="77777777" w:rsidR="00F15AB9" w:rsidRDefault="00F15AB9" w:rsidP="00F15AB9">
      <w:pPr>
        <w:pStyle w:val="Level1"/>
        <w:numPr>
          <w:ilvl w:val="0"/>
          <w:numId w:val="0"/>
        </w:numPr>
        <w:ind w:left="720" w:hanging="720"/>
        <w:rPr>
          <w:rFonts w:ascii="Arial" w:hAnsi="Arial" w:cs="Arial"/>
          <w:b/>
          <w:bCs/>
        </w:rPr>
      </w:pPr>
    </w:p>
    <w:p w14:paraId="28BFF7E1" w14:textId="77777777" w:rsidR="00F15AB9" w:rsidRDefault="00F15AB9" w:rsidP="00F15AB9">
      <w:pPr>
        <w:pStyle w:val="Level1"/>
        <w:numPr>
          <w:ilvl w:val="0"/>
          <w:numId w:val="0"/>
        </w:numPr>
        <w:ind w:left="720"/>
        <w:rPr>
          <w:rFonts w:ascii="Arial" w:hAnsi="Arial" w:cs="Arial"/>
          <w:bCs/>
        </w:rPr>
      </w:pPr>
      <w:r>
        <w:rPr>
          <w:rFonts w:ascii="Arial" w:hAnsi="Arial" w:cs="Arial"/>
          <w:bCs/>
        </w:rPr>
        <w:t>Incentives are not an entitlement.  Incentives will be provided to the youth at the discretion of the Program Operator and are subject to available funding.</w:t>
      </w:r>
    </w:p>
    <w:p w14:paraId="67953ECA" w14:textId="77777777" w:rsidR="00F15AB9" w:rsidRDefault="00F15AB9" w:rsidP="00F15AB9">
      <w:pPr>
        <w:pStyle w:val="Level1"/>
        <w:numPr>
          <w:ilvl w:val="0"/>
          <w:numId w:val="0"/>
        </w:numPr>
        <w:ind w:left="720"/>
        <w:rPr>
          <w:rFonts w:ascii="Arial" w:hAnsi="Arial" w:cs="Arial"/>
          <w:bCs/>
        </w:rPr>
      </w:pPr>
    </w:p>
    <w:p w14:paraId="6396B33B" w14:textId="19868E99" w:rsidR="00F15AB9" w:rsidRDefault="00F15AB9" w:rsidP="00F15AB9">
      <w:pPr>
        <w:pStyle w:val="Level1"/>
        <w:numPr>
          <w:ilvl w:val="0"/>
          <w:numId w:val="0"/>
        </w:numPr>
        <w:ind w:left="720"/>
        <w:rPr>
          <w:rFonts w:ascii="Arial" w:hAnsi="Arial" w:cs="Arial"/>
          <w:bCs/>
        </w:rPr>
      </w:pPr>
      <w:r>
        <w:rPr>
          <w:rFonts w:ascii="Arial" w:hAnsi="Arial" w:cs="Arial"/>
          <w:bCs/>
        </w:rPr>
        <w:t>Incentives may only be cash payments (payable by check).  The maximum payment to a youth for attaining one (1) program goal</w:t>
      </w:r>
      <w:r w:rsidR="006F4C6B">
        <w:rPr>
          <w:rFonts w:ascii="Arial" w:hAnsi="Arial" w:cs="Arial"/>
          <w:bCs/>
        </w:rPr>
        <w:t xml:space="preserve"> or </w:t>
      </w:r>
      <w:r>
        <w:rPr>
          <w:rFonts w:ascii="Arial" w:hAnsi="Arial" w:cs="Arial"/>
          <w:bCs/>
        </w:rPr>
        <w:t xml:space="preserve">positive outcome, is $100.00.  During a Program Year (July 1-June 30), </w:t>
      </w:r>
      <w:r w:rsidR="006F4C6B">
        <w:rPr>
          <w:rFonts w:ascii="Arial" w:hAnsi="Arial" w:cs="Arial"/>
          <w:bCs/>
        </w:rPr>
        <w:t xml:space="preserve">there is no limit to how many incentives  a student can earn for achieving </w:t>
      </w:r>
      <w:r w:rsidR="006F4C6B">
        <w:rPr>
          <w:rFonts w:ascii="Arial" w:hAnsi="Arial" w:cs="Arial"/>
          <w:bCs/>
        </w:rPr>
        <w:t>goals or outcomes</w:t>
      </w:r>
      <w:r w:rsidR="006F4C6B">
        <w:rPr>
          <w:rFonts w:ascii="Arial" w:hAnsi="Arial" w:cs="Arial"/>
          <w:bCs/>
        </w:rPr>
        <w:t>.</w:t>
      </w:r>
    </w:p>
    <w:p w14:paraId="3BEC93A2" w14:textId="77777777" w:rsidR="001B3571" w:rsidRDefault="001B3571" w:rsidP="004802C1">
      <w:pPr>
        <w:pStyle w:val="Level1"/>
        <w:numPr>
          <w:ilvl w:val="0"/>
          <w:numId w:val="0"/>
        </w:numPr>
        <w:rPr>
          <w:rFonts w:ascii="Arial" w:hAnsi="Arial" w:cs="Arial"/>
          <w:bCs/>
        </w:rPr>
      </w:pPr>
    </w:p>
    <w:p w14:paraId="7DE8733B" w14:textId="77777777" w:rsidR="00B124D9" w:rsidRDefault="00B124D9" w:rsidP="004802C1">
      <w:pPr>
        <w:pStyle w:val="Level1"/>
        <w:numPr>
          <w:ilvl w:val="0"/>
          <w:numId w:val="0"/>
        </w:numPr>
        <w:ind w:left="720" w:hanging="720"/>
        <w:rPr>
          <w:rFonts w:ascii="Arial" w:hAnsi="Arial" w:cs="Arial"/>
          <w:bCs/>
        </w:rPr>
      </w:pPr>
    </w:p>
    <w:p w14:paraId="5999A647" w14:textId="77777777" w:rsidR="00F15AB9" w:rsidRDefault="00F15AB9" w:rsidP="00F15AB9">
      <w:pPr>
        <w:pStyle w:val="Level1"/>
        <w:numPr>
          <w:ilvl w:val="0"/>
          <w:numId w:val="0"/>
        </w:numPr>
        <w:ind w:left="720"/>
        <w:rPr>
          <w:rFonts w:ascii="Arial" w:hAnsi="Arial" w:cs="Arial"/>
          <w:bCs/>
        </w:rPr>
      </w:pPr>
      <w:r>
        <w:rPr>
          <w:rFonts w:ascii="Arial" w:hAnsi="Arial" w:cs="Arial"/>
          <w:bCs/>
        </w:rPr>
        <w:t>Payment of incentives must be connected to the goals and objectives stated in the youth’s Individual Opportunity Plan (IOP).</w:t>
      </w:r>
    </w:p>
    <w:p w14:paraId="768CD7C4" w14:textId="77777777" w:rsidR="00600A97" w:rsidRDefault="00600A97" w:rsidP="00F15AB9">
      <w:pPr>
        <w:pStyle w:val="Level1"/>
        <w:numPr>
          <w:ilvl w:val="0"/>
          <w:numId w:val="0"/>
        </w:numPr>
        <w:ind w:left="720"/>
        <w:rPr>
          <w:rFonts w:ascii="Arial" w:hAnsi="Arial" w:cs="Arial"/>
          <w:bCs/>
        </w:rPr>
      </w:pPr>
    </w:p>
    <w:p w14:paraId="143E8293" w14:textId="3D15899F" w:rsidR="00F15AB9" w:rsidRDefault="00F15AB9" w:rsidP="00F15AB9">
      <w:pPr>
        <w:pStyle w:val="Level1"/>
        <w:numPr>
          <w:ilvl w:val="0"/>
          <w:numId w:val="0"/>
        </w:numPr>
        <w:ind w:left="720"/>
        <w:rPr>
          <w:rFonts w:ascii="Arial" w:hAnsi="Arial" w:cs="Arial"/>
          <w:bCs/>
        </w:rPr>
      </w:pPr>
      <w:r>
        <w:rPr>
          <w:rFonts w:ascii="Arial" w:hAnsi="Arial" w:cs="Arial"/>
          <w:bCs/>
        </w:rPr>
        <w:t>Incentives may be issued to youth for attaining goals and positive outcomes including:</w:t>
      </w:r>
    </w:p>
    <w:tbl>
      <w:tblPr>
        <w:tblStyle w:val="TableGrid"/>
        <w:tblW w:w="9805" w:type="dxa"/>
        <w:tblInd w:w="0" w:type="dxa"/>
        <w:tblLook w:val="04A0" w:firstRow="1" w:lastRow="0" w:firstColumn="1" w:lastColumn="0" w:noHBand="0" w:noVBand="1"/>
      </w:tblPr>
      <w:tblGrid>
        <w:gridCol w:w="7735"/>
        <w:gridCol w:w="2070"/>
      </w:tblGrid>
      <w:tr w:rsidR="004802C1" w14:paraId="6A70143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6029F74" w14:textId="3F6E5F3E" w:rsidR="004802C1" w:rsidRDefault="004802C1">
            <w:pPr>
              <w:rPr>
                <w:b/>
              </w:rPr>
            </w:pPr>
            <w:r>
              <w:rPr>
                <w:b/>
              </w:rPr>
              <w:t>WDA16  Youth Incentives Policy Incentives</w:t>
            </w:r>
          </w:p>
        </w:tc>
        <w:tc>
          <w:tcPr>
            <w:tcW w:w="2070" w:type="dxa"/>
            <w:tcBorders>
              <w:top w:val="single" w:sz="4" w:space="0" w:color="auto"/>
              <w:left w:val="single" w:sz="4" w:space="0" w:color="auto"/>
              <w:bottom w:val="single" w:sz="4" w:space="0" w:color="auto"/>
              <w:right w:val="single" w:sz="4" w:space="0" w:color="auto"/>
            </w:tcBorders>
            <w:hideMark/>
          </w:tcPr>
          <w:p w14:paraId="1DABFF5B" w14:textId="77777777" w:rsidR="004802C1" w:rsidRDefault="004802C1">
            <w:pPr>
              <w:rPr>
                <w:b/>
              </w:rPr>
            </w:pPr>
            <w:r>
              <w:rPr>
                <w:b/>
              </w:rPr>
              <w:t>Financial award to youth if achieves</w:t>
            </w:r>
          </w:p>
        </w:tc>
      </w:tr>
      <w:tr w:rsidR="004802C1" w14:paraId="135AAB77" w14:textId="77777777" w:rsidTr="004802C1">
        <w:tc>
          <w:tcPr>
            <w:tcW w:w="7735" w:type="dxa"/>
            <w:tcBorders>
              <w:top w:val="single" w:sz="4" w:space="0" w:color="auto"/>
              <w:left w:val="single" w:sz="4" w:space="0" w:color="auto"/>
              <w:bottom w:val="single" w:sz="4" w:space="0" w:color="auto"/>
              <w:right w:val="single" w:sz="4" w:space="0" w:color="auto"/>
            </w:tcBorders>
          </w:tcPr>
          <w:p w14:paraId="68C42066"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71BDF84" w14:textId="77777777" w:rsidR="004802C1" w:rsidRDefault="004802C1">
            <w:pPr>
              <w:rPr>
                <w:b/>
              </w:rPr>
            </w:pPr>
          </w:p>
        </w:tc>
      </w:tr>
      <w:tr w:rsidR="004802C1" w14:paraId="0489ED9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870A5E9" w14:textId="77777777" w:rsidR="004802C1" w:rsidRDefault="004802C1">
            <w:pPr>
              <w:rPr>
                <w:bCs/>
              </w:rPr>
            </w:pPr>
            <w:r>
              <w:rPr>
                <w:bCs/>
              </w:rPr>
              <w:t xml:space="preserve">Primary or secondary school grade for each level advancement or GED progress </w:t>
            </w:r>
          </w:p>
        </w:tc>
        <w:tc>
          <w:tcPr>
            <w:tcW w:w="2070" w:type="dxa"/>
            <w:tcBorders>
              <w:top w:val="single" w:sz="4" w:space="0" w:color="auto"/>
              <w:left w:val="single" w:sz="4" w:space="0" w:color="auto"/>
              <w:bottom w:val="single" w:sz="4" w:space="0" w:color="auto"/>
              <w:right w:val="single" w:sz="4" w:space="0" w:color="auto"/>
            </w:tcBorders>
            <w:hideMark/>
          </w:tcPr>
          <w:p w14:paraId="34999F88" w14:textId="77777777" w:rsidR="004802C1" w:rsidRDefault="004802C1">
            <w:pPr>
              <w:rPr>
                <w:bCs/>
              </w:rPr>
            </w:pPr>
            <w:r>
              <w:rPr>
                <w:bCs/>
              </w:rPr>
              <w:t>$100</w:t>
            </w:r>
          </w:p>
        </w:tc>
      </w:tr>
      <w:tr w:rsidR="004802C1" w14:paraId="613FDDD1"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A6D6545" w14:textId="77777777" w:rsidR="004802C1" w:rsidRDefault="004802C1">
            <w:pPr>
              <w:rPr>
                <w:bCs/>
              </w:rPr>
            </w:pPr>
            <w:r>
              <w:rPr>
                <w:bCs/>
              </w:rPr>
              <w:t>Attainment of HS diploma/GED</w:t>
            </w:r>
          </w:p>
        </w:tc>
        <w:tc>
          <w:tcPr>
            <w:tcW w:w="2070" w:type="dxa"/>
            <w:tcBorders>
              <w:top w:val="single" w:sz="4" w:space="0" w:color="auto"/>
              <w:left w:val="single" w:sz="4" w:space="0" w:color="auto"/>
              <w:bottom w:val="single" w:sz="4" w:space="0" w:color="auto"/>
              <w:right w:val="single" w:sz="4" w:space="0" w:color="auto"/>
            </w:tcBorders>
            <w:hideMark/>
          </w:tcPr>
          <w:p w14:paraId="11D2DB9D" w14:textId="77777777" w:rsidR="004802C1" w:rsidRDefault="004802C1">
            <w:pPr>
              <w:rPr>
                <w:bCs/>
              </w:rPr>
            </w:pPr>
            <w:r>
              <w:rPr>
                <w:bCs/>
              </w:rPr>
              <w:t>$100</w:t>
            </w:r>
          </w:p>
        </w:tc>
      </w:tr>
      <w:tr w:rsidR="004802C1" w14:paraId="4A9C6A1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A2D7536" w14:textId="77777777" w:rsidR="004802C1" w:rsidRDefault="004802C1">
            <w:pPr>
              <w:rPr>
                <w:bCs/>
              </w:rPr>
            </w:pPr>
            <w:r>
              <w:rPr>
                <w:bCs/>
              </w:rPr>
              <w:t>Successful completion of each educational/academic Credit Recovery Class</w:t>
            </w:r>
          </w:p>
        </w:tc>
        <w:tc>
          <w:tcPr>
            <w:tcW w:w="2070" w:type="dxa"/>
            <w:tcBorders>
              <w:top w:val="single" w:sz="4" w:space="0" w:color="auto"/>
              <w:left w:val="single" w:sz="4" w:space="0" w:color="auto"/>
              <w:bottom w:val="single" w:sz="4" w:space="0" w:color="auto"/>
              <w:right w:val="single" w:sz="4" w:space="0" w:color="auto"/>
            </w:tcBorders>
            <w:hideMark/>
          </w:tcPr>
          <w:p w14:paraId="6CF69419" w14:textId="77777777" w:rsidR="004802C1" w:rsidRDefault="004802C1">
            <w:pPr>
              <w:rPr>
                <w:bCs/>
              </w:rPr>
            </w:pPr>
            <w:r>
              <w:rPr>
                <w:bCs/>
              </w:rPr>
              <w:t>$100</w:t>
            </w:r>
          </w:p>
        </w:tc>
      </w:tr>
      <w:tr w:rsidR="004802C1" w14:paraId="4D14F9F0"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D9F84B8" w14:textId="77777777" w:rsidR="004802C1" w:rsidRDefault="004802C1">
            <w:pPr>
              <w:rPr>
                <w:bCs/>
              </w:rPr>
            </w:pPr>
            <w:r>
              <w:rPr>
                <w:bCs/>
              </w:rPr>
              <w:t>Successful completion of Nationally Recognized Certification or Licensure</w:t>
            </w:r>
          </w:p>
        </w:tc>
        <w:tc>
          <w:tcPr>
            <w:tcW w:w="2070" w:type="dxa"/>
            <w:tcBorders>
              <w:top w:val="single" w:sz="4" w:space="0" w:color="auto"/>
              <w:left w:val="single" w:sz="4" w:space="0" w:color="auto"/>
              <w:bottom w:val="single" w:sz="4" w:space="0" w:color="auto"/>
              <w:right w:val="single" w:sz="4" w:space="0" w:color="auto"/>
            </w:tcBorders>
            <w:hideMark/>
          </w:tcPr>
          <w:p w14:paraId="1BB36ACD" w14:textId="77777777" w:rsidR="004802C1" w:rsidRDefault="004802C1">
            <w:pPr>
              <w:rPr>
                <w:bCs/>
              </w:rPr>
            </w:pPr>
            <w:r>
              <w:rPr>
                <w:bCs/>
              </w:rPr>
              <w:t>$100</w:t>
            </w:r>
          </w:p>
        </w:tc>
      </w:tr>
      <w:tr w:rsidR="004802C1" w14:paraId="4476D9C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8C54042" w14:textId="77777777" w:rsidR="004802C1" w:rsidRDefault="004802C1">
            <w:pPr>
              <w:rPr>
                <w:bCs/>
              </w:rPr>
            </w:pPr>
            <w:r>
              <w:rPr>
                <w:bCs/>
              </w:rPr>
              <w:t>Obtaining Nationally Recognized Certification or License</w:t>
            </w:r>
          </w:p>
        </w:tc>
        <w:tc>
          <w:tcPr>
            <w:tcW w:w="2070" w:type="dxa"/>
            <w:tcBorders>
              <w:top w:val="single" w:sz="4" w:space="0" w:color="auto"/>
              <w:left w:val="single" w:sz="4" w:space="0" w:color="auto"/>
              <w:bottom w:val="single" w:sz="4" w:space="0" w:color="auto"/>
              <w:right w:val="single" w:sz="4" w:space="0" w:color="auto"/>
            </w:tcBorders>
            <w:hideMark/>
          </w:tcPr>
          <w:p w14:paraId="023EF62D" w14:textId="77777777" w:rsidR="004802C1" w:rsidRDefault="004802C1">
            <w:pPr>
              <w:rPr>
                <w:bCs/>
              </w:rPr>
            </w:pPr>
            <w:r>
              <w:rPr>
                <w:bCs/>
              </w:rPr>
              <w:t>$100</w:t>
            </w:r>
          </w:p>
        </w:tc>
      </w:tr>
      <w:tr w:rsidR="004802C1" w14:paraId="67DD45F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8DF221" w14:textId="77777777" w:rsidR="004802C1" w:rsidRDefault="004802C1">
            <w:pPr>
              <w:rPr>
                <w:bCs/>
              </w:rPr>
            </w:pPr>
            <w:r>
              <w:rPr>
                <w:bCs/>
              </w:rPr>
              <w:t>Successful completion of work experience as determined by the Program Operator</w:t>
            </w:r>
          </w:p>
        </w:tc>
        <w:tc>
          <w:tcPr>
            <w:tcW w:w="2070" w:type="dxa"/>
            <w:tcBorders>
              <w:top w:val="single" w:sz="4" w:space="0" w:color="auto"/>
              <w:left w:val="single" w:sz="4" w:space="0" w:color="auto"/>
              <w:bottom w:val="single" w:sz="4" w:space="0" w:color="auto"/>
              <w:right w:val="single" w:sz="4" w:space="0" w:color="auto"/>
            </w:tcBorders>
            <w:hideMark/>
          </w:tcPr>
          <w:p w14:paraId="468E9B01" w14:textId="77777777" w:rsidR="004802C1" w:rsidRDefault="004802C1">
            <w:pPr>
              <w:rPr>
                <w:bCs/>
              </w:rPr>
            </w:pPr>
            <w:r>
              <w:rPr>
                <w:bCs/>
              </w:rPr>
              <w:t>$100</w:t>
            </w:r>
          </w:p>
        </w:tc>
      </w:tr>
      <w:tr w:rsidR="004802C1" w14:paraId="6591DEA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ED2BF79" w14:textId="77777777" w:rsidR="004802C1" w:rsidRDefault="004802C1">
            <w:pPr>
              <w:rPr>
                <w:bCs/>
              </w:rPr>
            </w:pPr>
            <w:r>
              <w:rPr>
                <w:bCs/>
              </w:rPr>
              <w:t>Other training, educational, job shadowing and work experience activities as approved by the Program Operator, consistent with 20CFR 681.640</w:t>
            </w:r>
          </w:p>
        </w:tc>
        <w:tc>
          <w:tcPr>
            <w:tcW w:w="2070" w:type="dxa"/>
            <w:tcBorders>
              <w:top w:val="single" w:sz="4" w:space="0" w:color="auto"/>
              <w:left w:val="single" w:sz="4" w:space="0" w:color="auto"/>
              <w:bottom w:val="single" w:sz="4" w:space="0" w:color="auto"/>
              <w:right w:val="single" w:sz="4" w:space="0" w:color="auto"/>
            </w:tcBorders>
            <w:hideMark/>
          </w:tcPr>
          <w:p w14:paraId="66084026" w14:textId="77777777" w:rsidR="004802C1" w:rsidRDefault="004802C1">
            <w:pPr>
              <w:rPr>
                <w:bCs/>
              </w:rPr>
            </w:pPr>
            <w:r>
              <w:rPr>
                <w:bCs/>
              </w:rPr>
              <w:t>$100</w:t>
            </w:r>
          </w:p>
        </w:tc>
      </w:tr>
      <w:tr w:rsidR="004802C1" w14:paraId="13D5B154" w14:textId="77777777" w:rsidTr="004802C1">
        <w:tc>
          <w:tcPr>
            <w:tcW w:w="7735" w:type="dxa"/>
            <w:tcBorders>
              <w:top w:val="single" w:sz="4" w:space="0" w:color="auto"/>
              <w:left w:val="single" w:sz="4" w:space="0" w:color="auto"/>
              <w:bottom w:val="single" w:sz="4" w:space="0" w:color="auto"/>
              <w:right w:val="single" w:sz="4" w:space="0" w:color="auto"/>
            </w:tcBorders>
          </w:tcPr>
          <w:p w14:paraId="281869C4"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B9E52A7" w14:textId="77777777" w:rsidR="004802C1" w:rsidRDefault="004802C1">
            <w:pPr>
              <w:rPr>
                <w:b/>
              </w:rPr>
            </w:pPr>
          </w:p>
        </w:tc>
      </w:tr>
      <w:tr w:rsidR="004802C1" w14:paraId="73D5A29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00A322" w14:textId="77777777" w:rsidR="004802C1" w:rsidRDefault="004802C1">
            <w:pPr>
              <w:rPr>
                <w:b/>
              </w:rPr>
            </w:pPr>
            <w:r>
              <w:rPr>
                <w:b/>
              </w:rPr>
              <w:t>Additional Incentives allowed as per the ODJFS Toolkit</w:t>
            </w:r>
          </w:p>
        </w:tc>
        <w:tc>
          <w:tcPr>
            <w:tcW w:w="2070" w:type="dxa"/>
            <w:tcBorders>
              <w:top w:val="single" w:sz="4" w:space="0" w:color="auto"/>
              <w:left w:val="single" w:sz="4" w:space="0" w:color="auto"/>
              <w:bottom w:val="single" w:sz="4" w:space="0" w:color="auto"/>
              <w:right w:val="single" w:sz="4" w:space="0" w:color="auto"/>
            </w:tcBorders>
          </w:tcPr>
          <w:p w14:paraId="1B7F0AFF" w14:textId="77777777" w:rsidR="004802C1" w:rsidRDefault="004802C1">
            <w:pPr>
              <w:rPr>
                <w:b/>
              </w:rPr>
            </w:pPr>
          </w:p>
        </w:tc>
      </w:tr>
      <w:tr w:rsidR="004802C1" w14:paraId="242A5CBD" w14:textId="77777777" w:rsidTr="004802C1">
        <w:tc>
          <w:tcPr>
            <w:tcW w:w="7735" w:type="dxa"/>
            <w:tcBorders>
              <w:top w:val="single" w:sz="4" w:space="0" w:color="auto"/>
              <w:left w:val="single" w:sz="4" w:space="0" w:color="auto"/>
              <w:bottom w:val="single" w:sz="4" w:space="0" w:color="auto"/>
              <w:right w:val="single" w:sz="4" w:space="0" w:color="auto"/>
            </w:tcBorders>
          </w:tcPr>
          <w:p w14:paraId="65CB5F68" w14:textId="77777777" w:rsidR="004802C1" w:rsidRDefault="004802C1">
            <w:pPr>
              <w:rPr>
                <w:bCs/>
              </w:rPr>
            </w:pPr>
          </w:p>
        </w:tc>
        <w:tc>
          <w:tcPr>
            <w:tcW w:w="2070" w:type="dxa"/>
            <w:tcBorders>
              <w:top w:val="single" w:sz="4" w:space="0" w:color="auto"/>
              <w:left w:val="single" w:sz="4" w:space="0" w:color="auto"/>
              <w:bottom w:val="single" w:sz="4" w:space="0" w:color="auto"/>
              <w:right w:val="single" w:sz="4" w:space="0" w:color="auto"/>
            </w:tcBorders>
          </w:tcPr>
          <w:p w14:paraId="46180FFE" w14:textId="77777777" w:rsidR="004802C1" w:rsidRDefault="004802C1">
            <w:pPr>
              <w:rPr>
                <w:bCs/>
              </w:rPr>
            </w:pPr>
          </w:p>
        </w:tc>
      </w:tr>
      <w:tr w:rsidR="004802C1" w14:paraId="2E29242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3493DB" w14:textId="77777777" w:rsidR="004802C1" w:rsidRDefault="004802C1">
            <w:pPr>
              <w:rPr>
                <w:bCs/>
              </w:rPr>
            </w:pPr>
            <w:r>
              <w:rPr>
                <w:bCs/>
              </w:rPr>
              <w:t xml:space="preserve">Complete drivers ed training </w:t>
            </w:r>
          </w:p>
        </w:tc>
        <w:tc>
          <w:tcPr>
            <w:tcW w:w="2070" w:type="dxa"/>
            <w:tcBorders>
              <w:top w:val="single" w:sz="4" w:space="0" w:color="auto"/>
              <w:left w:val="single" w:sz="4" w:space="0" w:color="auto"/>
              <w:bottom w:val="single" w:sz="4" w:space="0" w:color="auto"/>
              <w:right w:val="single" w:sz="4" w:space="0" w:color="auto"/>
            </w:tcBorders>
            <w:hideMark/>
          </w:tcPr>
          <w:p w14:paraId="64190030" w14:textId="77777777" w:rsidR="004802C1" w:rsidRDefault="004802C1">
            <w:pPr>
              <w:rPr>
                <w:bCs/>
              </w:rPr>
            </w:pPr>
            <w:r>
              <w:rPr>
                <w:bCs/>
              </w:rPr>
              <w:t>$100</w:t>
            </w:r>
          </w:p>
        </w:tc>
      </w:tr>
      <w:tr w:rsidR="004802C1" w14:paraId="3446EF62"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B5CC986" w14:textId="77777777" w:rsidR="004802C1" w:rsidRDefault="004802C1">
            <w:pPr>
              <w:rPr>
                <w:bCs/>
              </w:rPr>
            </w:pPr>
            <w:r>
              <w:rPr>
                <w:bCs/>
              </w:rPr>
              <w:t>Obtain Driver’s License</w:t>
            </w:r>
          </w:p>
        </w:tc>
        <w:tc>
          <w:tcPr>
            <w:tcW w:w="2070" w:type="dxa"/>
            <w:tcBorders>
              <w:top w:val="single" w:sz="4" w:space="0" w:color="auto"/>
              <w:left w:val="single" w:sz="4" w:space="0" w:color="auto"/>
              <w:bottom w:val="single" w:sz="4" w:space="0" w:color="auto"/>
              <w:right w:val="single" w:sz="4" w:space="0" w:color="auto"/>
            </w:tcBorders>
            <w:hideMark/>
          </w:tcPr>
          <w:p w14:paraId="31AC2652" w14:textId="77777777" w:rsidR="004802C1" w:rsidRDefault="004802C1">
            <w:pPr>
              <w:rPr>
                <w:bCs/>
              </w:rPr>
            </w:pPr>
            <w:r>
              <w:rPr>
                <w:bCs/>
              </w:rPr>
              <w:t>$100</w:t>
            </w:r>
          </w:p>
        </w:tc>
      </w:tr>
      <w:tr w:rsidR="004802C1" w14:paraId="191755A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05A430B" w14:textId="77777777" w:rsidR="004802C1" w:rsidRDefault="004802C1">
            <w:pPr>
              <w:rPr>
                <w:bCs/>
              </w:rPr>
            </w:pPr>
            <w:r>
              <w:rPr>
                <w:bCs/>
              </w:rPr>
              <w:t>Earn an Ohio Jobs Readiness Seal (from required Ohio HS graduation list)</w:t>
            </w:r>
          </w:p>
        </w:tc>
        <w:tc>
          <w:tcPr>
            <w:tcW w:w="2070" w:type="dxa"/>
            <w:tcBorders>
              <w:top w:val="single" w:sz="4" w:space="0" w:color="auto"/>
              <w:left w:val="single" w:sz="4" w:space="0" w:color="auto"/>
              <w:bottom w:val="single" w:sz="4" w:space="0" w:color="auto"/>
              <w:right w:val="single" w:sz="4" w:space="0" w:color="auto"/>
            </w:tcBorders>
            <w:hideMark/>
          </w:tcPr>
          <w:p w14:paraId="41CAB890" w14:textId="77777777" w:rsidR="004802C1" w:rsidRDefault="004802C1">
            <w:pPr>
              <w:rPr>
                <w:bCs/>
              </w:rPr>
            </w:pPr>
            <w:r>
              <w:rPr>
                <w:bCs/>
              </w:rPr>
              <w:t>$100</w:t>
            </w:r>
          </w:p>
        </w:tc>
      </w:tr>
      <w:tr w:rsidR="004802C1" w14:paraId="5349EC5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F3E1D12" w14:textId="77777777" w:rsidR="004802C1" w:rsidRDefault="004802C1">
            <w:pPr>
              <w:rPr>
                <w:bCs/>
              </w:rPr>
            </w:pPr>
            <w:r>
              <w:rPr>
                <w:bCs/>
              </w:rPr>
              <w:t>Successfully complete a soft skills training program as approved by the Program Operator (</w:t>
            </w:r>
            <w:proofErr w:type="gramStart"/>
            <w:r>
              <w:rPr>
                <w:bCs/>
              </w:rPr>
              <w:t>i.e.</w:t>
            </w:r>
            <w:proofErr w:type="gramEnd"/>
            <w:r>
              <w:rPr>
                <w:bCs/>
              </w:rPr>
              <w:t xml:space="preserve"> Leadership, Financial Literacy, others linked to the 14 WIOA Youth Elements)</w:t>
            </w:r>
          </w:p>
        </w:tc>
        <w:tc>
          <w:tcPr>
            <w:tcW w:w="2070" w:type="dxa"/>
            <w:tcBorders>
              <w:top w:val="single" w:sz="4" w:space="0" w:color="auto"/>
              <w:left w:val="single" w:sz="4" w:space="0" w:color="auto"/>
              <w:bottom w:val="single" w:sz="4" w:space="0" w:color="auto"/>
              <w:right w:val="single" w:sz="4" w:space="0" w:color="auto"/>
            </w:tcBorders>
            <w:hideMark/>
          </w:tcPr>
          <w:p w14:paraId="7CEE0BDC" w14:textId="77777777" w:rsidR="004802C1" w:rsidRDefault="004802C1">
            <w:pPr>
              <w:rPr>
                <w:bCs/>
              </w:rPr>
            </w:pPr>
            <w:r>
              <w:rPr>
                <w:bCs/>
              </w:rPr>
              <w:t>$100</w:t>
            </w:r>
          </w:p>
        </w:tc>
      </w:tr>
      <w:tr w:rsidR="004802C1" w14:paraId="02695BE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55FC6AFE" w14:textId="77777777" w:rsidR="004802C1" w:rsidRDefault="004802C1">
            <w:pPr>
              <w:rPr>
                <w:bCs/>
              </w:rPr>
            </w:pPr>
            <w:r>
              <w:rPr>
                <w:bCs/>
              </w:rPr>
              <w:t>Complete a FASFA</w:t>
            </w:r>
          </w:p>
        </w:tc>
        <w:tc>
          <w:tcPr>
            <w:tcW w:w="2070" w:type="dxa"/>
            <w:tcBorders>
              <w:top w:val="single" w:sz="4" w:space="0" w:color="auto"/>
              <w:left w:val="single" w:sz="4" w:space="0" w:color="auto"/>
              <w:bottom w:val="single" w:sz="4" w:space="0" w:color="auto"/>
              <w:right w:val="single" w:sz="4" w:space="0" w:color="auto"/>
            </w:tcBorders>
            <w:hideMark/>
          </w:tcPr>
          <w:p w14:paraId="4FA1849D" w14:textId="77777777" w:rsidR="004802C1" w:rsidRDefault="004802C1">
            <w:pPr>
              <w:rPr>
                <w:bCs/>
                <w:highlight w:val="yellow"/>
              </w:rPr>
            </w:pPr>
            <w:r>
              <w:rPr>
                <w:bCs/>
              </w:rPr>
              <w:t>$100</w:t>
            </w:r>
          </w:p>
        </w:tc>
      </w:tr>
      <w:tr w:rsidR="004802C1" w14:paraId="57306E09"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F81AE4" w14:textId="77777777" w:rsidR="004802C1" w:rsidRDefault="004802C1">
            <w:pPr>
              <w:rPr>
                <w:bCs/>
              </w:rPr>
            </w:pPr>
            <w:r>
              <w:rPr>
                <w:bCs/>
              </w:rPr>
              <w:t>Enroll in post-secondary school</w:t>
            </w:r>
          </w:p>
        </w:tc>
        <w:tc>
          <w:tcPr>
            <w:tcW w:w="2070" w:type="dxa"/>
            <w:tcBorders>
              <w:top w:val="single" w:sz="4" w:space="0" w:color="auto"/>
              <w:left w:val="single" w:sz="4" w:space="0" w:color="auto"/>
              <w:bottom w:val="single" w:sz="4" w:space="0" w:color="auto"/>
              <w:right w:val="single" w:sz="4" w:space="0" w:color="auto"/>
            </w:tcBorders>
            <w:hideMark/>
          </w:tcPr>
          <w:p w14:paraId="2F2C727A" w14:textId="77777777" w:rsidR="004802C1" w:rsidRDefault="004802C1">
            <w:pPr>
              <w:rPr>
                <w:bCs/>
              </w:rPr>
            </w:pPr>
            <w:r>
              <w:rPr>
                <w:bCs/>
              </w:rPr>
              <w:t>$100</w:t>
            </w:r>
          </w:p>
        </w:tc>
      </w:tr>
      <w:tr w:rsidR="004802C1" w14:paraId="606BE8B4" w14:textId="77777777" w:rsidTr="004802C1">
        <w:trPr>
          <w:trHeight w:val="1142"/>
        </w:trPr>
        <w:tc>
          <w:tcPr>
            <w:tcW w:w="7735" w:type="dxa"/>
            <w:tcBorders>
              <w:top w:val="single" w:sz="4" w:space="0" w:color="auto"/>
              <w:left w:val="single" w:sz="4" w:space="0" w:color="auto"/>
              <w:bottom w:val="single" w:sz="4" w:space="0" w:color="auto"/>
              <w:right w:val="single" w:sz="4" w:space="0" w:color="auto"/>
            </w:tcBorders>
            <w:hideMark/>
          </w:tcPr>
          <w:p w14:paraId="77FA468D" w14:textId="77777777" w:rsidR="004802C1" w:rsidRDefault="004802C1">
            <w:pPr>
              <w:rPr>
                <w:bCs/>
              </w:rPr>
            </w:pPr>
            <w:r>
              <w:rPr>
                <w:bCs/>
              </w:rPr>
              <w:t>Complete a semester of post-secondary school</w:t>
            </w:r>
          </w:p>
          <w:p w14:paraId="57719604" w14:textId="77777777" w:rsidR="004802C1" w:rsidRDefault="004802C1">
            <w:pPr>
              <w:rPr>
                <w:bCs/>
              </w:rPr>
            </w:pPr>
            <w:r>
              <w:rPr>
                <w:bCs/>
              </w:rPr>
              <w:t>(Minimum 2.5 GPA per semester to earn an incentive)</w:t>
            </w:r>
          </w:p>
        </w:tc>
        <w:tc>
          <w:tcPr>
            <w:tcW w:w="2070" w:type="dxa"/>
            <w:tcBorders>
              <w:top w:val="single" w:sz="4" w:space="0" w:color="auto"/>
              <w:left w:val="single" w:sz="4" w:space="0" w:color="auto"/>
              <w:bottom w:val="single" w:sz="4" w:space="0" w:color="auto"/>
              <w:right w:val="single" w:sz="4" w:space="0" w:color="auto"/>
            </w:tcBorders>
            <w:hideMark/>
          </w:tcPr>
          <w:p w14:paraId="3B950EF7" w14:textId="77777777" w:rsidR="004802C1" w:rsidRDefault="004802C1">
            <w:pPr>
              <w:rPr>
                <w:bCs/>
              </w:rPr>
            </w:pPr>
            <w:r>
              <w:rPr>
                <w:bCs/>
              </w:rPr>
              <w:t>$100</w:t>
            </w:r>
          </w:p>
        </w:tc>
      </w:tr>
      <w:tr w:rsidR="004802C1" w14:paraId="49AFA00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6CB2C77" w14:textId="77777777" w:rsidR="004802C1" w:rsidRDefault="004802C1">
            <w:pPr>
              <w:rPr>
                <w:bCs/>
              </w:rPr>
            </w:pPr>
            <w:r>
              <w:rPr>
                <w:bCs/>
              </w:rPr>
              <w:t>Obtain unsubsidized employment</w:t>
            </w:r>
          </w:p>
        </w:tc>
        <w:tc>
          <w:tcPr>
            <w:tcW w:w="2070" w:type="dxa"/>
            <w:tcBorders>
              <w:top w:val="single" w:sz="4" w:space="0" w:color="auto"/>
              <w:left w:val="single" w:sz="4" w:space="0" w:color="auto"/>
              <w:bottom w:val="single" w:sz="4" w:space="0" w:color="auto"/>
              <w:right w:val="single" w:sz="4" w:space="0" w:color="auto"/>
            </w:tcBorders>
            <w:hideMark/>
          </w:tcPr>
          <w:p w14:paraId="5B759A5C" w14:textId="77777777" w:rsidR="004802C1" w:rsidRDefault="004802C1">
            <w:pPr>
              <w:rPr>
                <w:bCs/>
              </w:rPr>
            </w:pPr>
            <w:r>
              <w:rPr>
                <w:bCs/>
              </w:rPr>
              <w:t>$100</w:t>
            </w:r>
          </w:p>
        </w:tc>
      </w:tr>
      <w:tr w:rsidR="004802C1" w14:paraId="3A17246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19BEA63" w14:textId="77777777" w:rsidR="004802C1" w:rsidRDefault="004802C1">
            <w:pPr>
              <w:rPr>
                <w:bCs/>
              </w:rPr>
            </w:pPr>
            <w:r>
              <w:rPr>
                <w:bCs/>
              </w:rPr>
              <w:t>Retain unsubsidized employment</w:t>
            </w:r>
          </w:p>
          <w:p w14:paraId="057BC5BD" w14:textId="77777777" w:rsidR="004802C1" w:rsidRDefault="004802C1">
            <w:pPr>
              <w:rPr>
                <w:bCs/>
              </w:rPr>
            </w:pPr>
            <w:r>
              <w:rPr>
                <w:bCs/>
              </w:rPr>
              <w:t>(Incentive paid after 60 work days or 360 hours of work, whichever is less)</w:t>
            </w:r>
          </w:p>
        </w:tc>
        <w:tc>
          <w:tcPr>
            <w:tcW w:w="2070" w:type="dxa"/>
            <w:tcBorders>
              <w:top w:val="single" w:sz="4" w:space="0" w:color="auto"/>
              <w:left w:val="single" w:sz="4" w:space="0" w:color="auto"/>
              <w:bottom w:val="single" w:sz="4" w:space="0" w:color="auto"/>
              <w:right w:val="single" w:sz="4" w:space="0" w:color="auto"/>
            </w:tcBorders>
            <w:hideMark/>
          </w:tcPr>
          <w:p w14:paraId="785D9B2E" w14:textId="77777777" w:rsidR="004802C1" w:rsidRDefault="004802C1">
            <w:pPr>
              <w:rPr>
                <w:bCs/>
              </w:rPr>
            </w:pPr>
            <w:r>
              <w:rPr>
                <w:bCs/>
              </w:rPr>
              <w:t>$100</w:t>
            </w:r>
          </w:p>
        </w:tc>
      </w:tr>
      <w:tr w:rsidR="004802C1" w14:paraId="30593533" w14:textId="77777777" w:rsidTr="004802C1">
        <w:tc>
          <w:tcPr>
            <w:tcW w:w="7735" w:type="dxa"/>
            <w:tcBorders>
              <w:top w:val="single" w:sz="4" w:space="0" w:color="auto"/>
              <w:left w:val="single" w:sz="4" w:space="0" w:color="auto"/>
              <w:bottom w:val="single" w:sz="4" w:space="0" w:color="auto"/>
              <w:right w:val="single" w:sz="4" w:space="0" w:color="auto"/>
            </w:tcBorders>
          </w:tcPr>
          <w:p w14:paraId="24DC6474"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3606723C" w14:textId="77777777" w:rsidR="004802C1" w:rsidRDefault="004802C1">
            <w:pPr>
              <w:rPr>
                <w:b/>
              </w:rPr>
            </w:pPr>
          </w:p>
        </w:tc>
      </w:tr>
    </w:tbl>
    <w:p w14:paraId="695AB15A" w14:textId="77777777" w:rsidR="004802C1" w:rsidRDefault="004802C1" w:rsidP="004802C1">
      <w:pPr>
        <w:rPr>
          <w:b/>
        </w:rPr>
      </w:pPr>
    </w:p>
    <w:p w14:paraId="5752C301" w14:textId="77777777" w:rsidR="004802C1" w:rsidRDefault="004802C1" w:rsidP="004802C1">
      <w:pPr>
        <w:rPr>
          <w:bCs/>
        </w:rPr>
      </w:pPr>
      <w:r>
        <w:rPr>
          <w:bCs/>
        </w:rPr>
        <w:t>All WDB16 approved incentives are consistent with the 2021 guidelines provided in the CCMEP ODJFS toolkit:</w:t>
      </w:r>
    </w:p>
    <w:p w14:paraId="02E8BD10" w14:textId="1D0FDA21" w:rsidR="00F15AB9" w:rsidRDefault="001D6CD9" w:rsidP="004802C1">
      <w:pPr>
        <w:pStyle w:val="Level1"/>
        <w:numPr>
          <w:ilvl w:val="0"/>
          <w:numId w:val="0"/>
        </w:numPr>
        <w:ind w:left="720" w:hanging="720"/>
        <w:rPr>
          <w:rFonts w:ascii="Arial" w:hAnsi="Arial" w:cs="Arial"/>
          <w:bCs/>
        </w:rPr>
      </w:pPr>
      <w:hyperlink r:id="rId8" w:history="1">
        <w:r w:rsidR="004802C1">
          <w:rPr>
            <w:rStyle w:val="Hyperlink"/>
            <w:b/>
          </w:rPr>
          <w:t>https://jfs.ohio.gov/owd/CCMEP/docs/OnlineTrainingWorkExperienceandIncentivesToolKit.pdf</w:t>
        </w:r>
      </w:hyperlink>
    </w:p>
    <w:p w14:paraId="35A9BD92" w14:textId="77777777" w:rsidR="00F15AB9" w:rsidRDefault="00F15AB9" w:rsidP="00F15AB9">
      <w:pPr>
        <w:pStyle w:val="Level1"/>
        <w:numPr>
          <w:ilvl w:val="0"/>
          <w:numId w:val="0"/>
        </w:numPr>
        <w:ind w:left="720" w:hanging="720"/>
        <w:rPr>
          <w:rFonts w:ascii="Arial" w:hAnsi="Arial" w:cs="Arial"/>
          <w:bCs/>
        </w:rPr>
      </w:pPr>
    </w:p>
    <w:p w14:paraId="4BDA4AB4" w14:textId="77777777" w:rsidR="00F15AB9" w:rsidRDefault="00F15AB9" w:rsidP="00F15AB9">
      <w:pPr>
        <w:pStyle w:val="Level1"/>
        <w:numPr>
          <w:ilvl w:val="0"/>
          <w:numId w:val="0"/>
        </w:numPr>
        <w:ind w:left="720" w:hanging="720"/>
        <w:rPr>
          <w:rFonts w:ascii="Arial" w:hAnsi="Arial" w:cs="Arial"/>
          <w:bCs/>
        </w:rPr>
      </w:pPr>
      <w:r>
        <w:rPr>
          <w:rFonts w:ascii="Arial" w:hAnsi="Arial" w:cs="Arial"/>
          <w:bCs/>
        </w:rPr>
        <w:t xml:space="preserve">      Documentation must be maintained by the Program Operator or Subcontractor and include at a minimum: </w:t>
      </w:r>
    </w:p>
    <w:p w14:paraId="1070C2DF" w14:textId="77777777" w:rsidR="00F15AB9" w:rsidRDefault="00F15AB9" w:rsidP="00F15AB9">
      <w:pPr>
        <w:pStyle w:val="Level1"/>
        <w:numPr>
          <w:ilvl w:val="0"/>
          <w:numId w:val="0"/>
        </w:numPr>
        <w:ind w:left="720" w:hanging="720"/>
        <w:rPr>
          <w:rFonts w:ascii="Arial" w:hAnsi="Arial" w:cs="Arial"/>
          <w:bCs/>
        </w:rPr>
      </w:pPr>
    </w:p>
    <w:p w14:paraId="50F09291" w14:textId="77777777" w:rsidR="00F15AB9" w:rsidRDefault="00F15AB9" w:rsidP="00F15AB9">
      <w:pPr>
        <w:pStyle w:val="Level1"/>
        <w:numPr>
          <w:ilvl w:val="0"/>
          <w:numId w:val="20"/>
        </w:numPr>
        <w:rPr>
          <w:rFonts w:ascii="Arial" w:hAnsi="Arial" w:cs="Arial"/>
          <w:bCs/>
        </w:rPr>
      </w:pPr>
      <w:r>
        <w:rPr>
          <w:rFonts w:ascii="Arial" w:hAnsi="Arial" w:cs="Arial"/>
          <w:bCs/>
        </w:rPr>
        <w:t>Documentation of the Goal/Positive Outcome to be attained in the IOP</w:t>
      </w:r>
    </w:p>
    <w:p w14:paraId="3833AF4D" w14:textId="77777777" w:rsidR="00F15AB9" w:rsidRDefault="00F15AB9" w:rsidP="00F15AB9">
      <w:pPr>
        <w:pStyle w:val="Level1"/>
        <w:numPr>
          <w:ilvl w:val="0"/>
          <w:numId w:val="20"/>
        </w:numPr>
        <w:rPr>
          <w:rFonts w:ascii="Arial" w:hAnsi="Arial" w:cs="Arial"/>
          <w:bCs/>
        </w:rPr>
      </w:pPr>
      <w:r>
        <w:rPr>
          <w:rFonts w:ascii="Arial" w:hAnsi="Arial" w:cs="Arial"/>
          <w:bCs/>
        </w:rPr>
        <w:t>Documentation of evidence of goal attainment</w:t>
      </w:r>
    </w:p>
    <w:p w14:paraId="31D8E2A8" w14:textId="77777777" w:rsidR="00F15AB9" w:rsidRDefault="00F15AB9" w:rsidP="00F15AB9">
      <w:pPr>
        <w:pStyle w:val="Level1"/>
        <w:numPr>
          <w:ilvl w:val="0"/>
          <w:numId w:val="20"/>
        </w:numPr>
        <w:rPr>
          <w:rFonts w:ascii="Arial" w:hAnsi="Arial" w:cs="Arial"/>
          <w:bCs/>
        </w:rPr>
      </w:pPr>
      <w:r>
        <w:rPr>
          <w:rFonts w:ascii="Arial" w:hAnsi="Arial" w:cs="Arial"/>
          <w:bCs/>
        </w:rPr>
        <w:t>Documentation that the Incentive was issued to the Youth</w:t>
      </w:r>
    </w:p>
    <w:p w14:paraId="687C1E05" w14:textId="77777777" w:rsidR="00F15AB9" w:rsidRDefault="00F15AB9" w:rsidP="00F15AB9">
      <w:pPr>
        <w:pStyle w:val="Level1"/>
        <w:numPr>
          <w:ilvl w:val="0"/>
          <w:numId w:val="0"/>
        </w:numPr>
        <w:ind w:left="720" w:hanging="720"/>
        <w:rPr>
          <w:rFonts w:ascii="Arial" w:hAnsi="Arial" w:cs="Arial"/>
          <w:bCs/>
        </w:rPr>
      </w:pPr>
    </w:p>
    <w:p w14:paraId="7C98A198" w14:textId="77777777" w:rsidR="00F15AB9" w:rsidRPr="003A2F79" w:rsidRDefault="00F15AB9" w:rsidP="00F15AB9">
      <w:pPr>
        <w:pStyle w:val="Level1"/>
        <w:numPr>
          <w:ilvl w:val="0"/>
          <w:numId w:val="0"/>
        </w:numPr>
        <w:tabs>
          <w:tab w:val="left" w:pos="2415"/>
        </w:tabs>
        <w:ind w:left="720" w:hanging="720"/>
        <w:rPr>
          <w:rFonts w:ascii="Arial" w:hAnsi="Arial" w:cs="Arial"/>
          <w:bCs/>
        </w:rPr>
      </w:pPr>
      <w:r>
        <w:rPr>
          <w:rFonts w:ascii="Arial" w:hAnsi="Arial" w:cs="Arial"/>
          <w:bCs/>
        </w:rPr>
        <w:tab/>
      </w:r>
      <w:r>
        <w:rPr>
          <w:rFonts w:ascii="Arial" w:hAnsi="Arial" w:cs="Arial"/>
          <w:bCs/>
        </w:rPr>
        <w:tab/>
      </w:r>
    </w:p>
    <w:p w14:paraId="68C13053" w14:textId="5A1954A7" w:rsidR="009C5771" w:rsidRPr="006F4C6B" w:rsidRDefault="00F15AB9" w:rsidP="009C5771">
      <w:pPr>
        <w:rPr>
          <w:rFonts w:ascii="Arial" w:hAnsi="Arial" w:cs="Arial"/>
        </w:rPr>
      </w:pPr>
      <w:r>
        <w:rPr>
          <w:rFonts w:ascii="Arial" w:hAnsi="Arial" w:cs="Arial"/>
        </w:rPr>
        <w:t xml:space="preserve">      END</w:t>
      </w:r>
    </w:p>
    <w:sectPr w:rsidR="009C5771" w:rsidRPr="006F4C6B"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FE5A" w14:textId="77777777" w:rsidR="001D6CD9" w:rsidRDefault="001D6CD9" w:rsidP="006A0FA7">
      <w:pPr>
        <w:spacing w:after="0" w:line="240" w:lineRule="auto"/>
      </w:pPr>
      <w:r>
        <w:separator/>
      </w:r>
    </w:p>
  </w:endnote>
  <w:endnote w:type="continuationSeparator" w:id="0">
    <w:p w14:paraId="356CC952" w14:textId="77777777" w:rsidR="001D6CD9" w:rsidRDefault="001D6CD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552A7EA8" w14:textId="77777777" w:rsidR="00C10A7F" w:rsidRDefault="00C10A7F">
        <w:pPr>
          <w:pStyle w:val="Footer"/>
          <w:jc w:val="center"/>
        </w:pPr>
        <w:r>
          <w:fldChar w:fldCharType="begin"/>
        </w:r>
        <w:r>
          <w:instrText xml:space="preserve"> PAGE   \* MERGEFORMAT </w:instrText>
        </w:r>
        <w:r>
          <w:fldChar w:fldCharType="separate"/>
        </w:r>
        <w:r w:rsidR="000B3E80">
          <w:rPr>
            <w:noProof/>
          </w:rPr>
          <w:t>1</w:t>
        </w:r>
        <w:r>
          <w:rPr>
            <w:noProof/>
          </w:rPr>
          <w:fldChar w:fldCharType="end"/>
        </w:r>
      </w:p>
    </w:sdtContent>
  </w:sdt>
  <w:p w14:paraId="5A49C753"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F70C" w14:textId="77777777" w:rsidR="001D6CD9" w:rsidRDefault="001D6CD9" w:rsidP="006A0FA7">
      <w:pPr>
        <w:spacing w:after="0" w:line="240" w:lineRule="auto"/>
      </w:pPr>
      <w:r>
        <w:separator/>
      </w:r>
    </w:p>
  </w:footnote>
  <w:footnote w:type="continuationSeparator" w:id="0">
    <w:p w14:paraId="066D2D66" w14:textId="77777777" w:rsidR="001D6CD9" w:rsidRDefault="001D6CD9"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CB4"/>
    <w:multiLevelType w:val="hybridMultilevel"/>
    <w:tmpl w:val="C32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6211B"/>
    <w:multiLevelType w:val="hybridMultilevel"/>
    <w:tmpl w:val="98DA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5"/>
  </w:num>
  <w:num w:numId="3">
    <w:abstractNumId w:val="14"/>
  </w:num>
  <w:num w:numId="4">
    <w:abstractNumId w:val="3"/>
  </w:num>
  <w:num w:numId="5">
    <w:abstractNumId w:val="4"/>
  </w:num>
  <w:num w:numId="6">
    <w:abstractNumId w:val="9"/>
  </w:num>
  <w:num w:numId="7">
    <w:abstractNumId w:val="10"/>
  </w:num>
  <w:num w:numId="8">
    <w:abstractNumId w:val="11"/>
  </w:num>
  <w:num w:numId="9">
    <w:abstractNumId w:val="1"/>
  </w:num>
  <w:num w:numId="10">
    <w:abstractNumId w:val="2"/>
  </w:num>
  <w:num w:numId="11">
    <w:abstractNumId w:val="16"/>
  </w:num>
  <w:num w:numId="12">
    <w:abstractNumId w:val="12"/>
  </w:num>
  <w:num w:numId="13">
    <w:abstractNumId w:val="18"/>
  </w:num>
  <w:num w:numId="14">
    <w:abstractNumId w:val="19"/>
  </w:num>
  <w:num w:numId="15">
    <w:abstractNumId w:val="13"/>
  </w:num>
  <w:num w:numId="16">
    <w:abstractNumId w:val="7"/>
  </w:num>
  <w:num w:numId="17">
    <w:abstractNumId w:val="15"/>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86FF9"/>
    <w:rsid w:val="00090874"/>
    <w:rsid w:val="000B3E80"/>
    <w:rsid w:val="001B3571"/>
    <w:rsid w:val="001D5A0D"/>
    <w:rsid w:val="001D6CD9"/>
    <w:rsid w:val="001D7C92"/>
    <w:rsid w:val="00222520"/>
    <w:rsid w:val="00224225"/>
    <w:rsid w:val="0022425E"/>
    <w:rsid w:val="002824DB"/>
    <w:rsid w:val="002D2043"/>
    <w:rsid w:val="00301F24"/>
    <w:rsid w:val="00321F1C"/>
    <w:rsid w:val="003A2FC5"/>
    <w:rsid w:val="003A40BB"/>
    <w:rsid w:val="003C5414"/>
    <w:rsid w:val="003E65BC"/>
    <w:rsid w:val="00436F24"/>
    <w:rsid w:val="004802C1"/>
    <w:rsid w:val="004C18DA"/>
    <w:rsid w:val="004E0958"/>
    <w:rsid w:val="004F7A17"/>
    <w:rsid w:val="0052489D"/>
    <w:rsid w:val="00554BC4"/>
    <w:rsid w:val="0058042C"/>
    <w:rsid w:val="00594749"/>
    <w:rsid w:val="005A3B8F"/>
    <w:rsid w:val="005B4519"/>
    <w:rsid w:val="005D571D"/>
    <w:rsid w:val="005E4C04"/>
    <w:rsid w:val="00600A97"/>
    <w:rsid w:val="00696858"/>
    <w:rsid w:val="006A0FA7"/>
    <w:rsid w:val="006A4E73"/>
    <w:rsid w:val="006A714E"/>
    <w:rsid w:val="006E0BC3"/>
    <w:rsid w:val="006F4C6B"/>
    <w:rsid w:val="006F7CB4"/>
    <w:rsid w:val="00756400"/>
    <w:rsid w:val="00825A5B"/>
    <w:rsid w:val="008C0560"/>
    <w:rsid w:val="00907208"/>
    <w:rsid w:val="00927A94"/>
    <w:rsid w:val="00953CC8"/>
    <w:rsid w:val="00973CA8"/>
    <w:rsid w:val="009C5771"/>
    <w:rsid w:val="009C790B"/>
    <w:rsid w:val="009E129D"/>
    <w:rsid w:val="00A40B97"/>
    <w:rsid w:val="00A864C9"/>
    <w:rsid w:val="00B124D9"/>
    <w:rsid w:val="00B83406"/>
    <w:rsid w:val="00B86049"/>
    <w:rsid w:val="00C10A7F"/>
    <w:rsid w:val="00C22148"/>
    <w:rsid w:val="00C567D1"/>
    <w:rsid w:val="00C82767"/>
    <w:rsid w:val="00C84D99"/>
    <w:rsid w:val="00CA3C83"/>
    <w:rsid w:val="00D4232D"/>
    <w:rsid w:val="00DA4140"/>
    <w:rsid w:val="00E270ED"/>
    <w:rsid w:val="00E81007"/>
    <w:rsid w:val="00EA6131"/>
    <w:rsid w:val="00EC0836"/>
    <w:rsid w:val="00EE1CA6"/>
    <w:rsid w:val="00EF5CD1"/>
    <w:rsid w:val="00F15AB9"/>
    <w:rsid w:val="00F97658"/>
    <w:rsid w:val="00FC101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74FE"/>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F15AB9"/>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table" w:styleId="TableGrid">
    <w:name w:val="Table Grid"/>
    <w:basedOn w:val="TableNormal"/>
    <w:uiPriority w:val="39"/>
    <w:rsid w:val="004802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8805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ohio.gov/owd/CCMEP/docs/OnlineTrainingWorkExperienceandIncentivesToolKi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3</cp:revision>
  <cp:lastPrinted>2019-03-25T21:44:00Z</cp:lastPrinted>
  <dcterms:created xsi:type="dcterms:W3CDTF">2021-08-31T20:45:00Z</dcterms:created>
  <dcterms:modified xsi:type="dcterms:W3CDTF">2021-09-06T20:10:00Z</dcterms:modified>
</cp:coreProperties>
</file>