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sidP="009C5771">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D93EF0" w:rsidRDefault="00D93EF0" w:rsidP="00D93EF0">
      <w:pPr>
        <w:rPr>
          <w:rFonts w:ascii="Arial" w:hAnsi="Arial" w:cs="Arial"/>
          <w:b/>
          <w:bCs/>
          <w:sz w:val="28"/>
          <w:szCs w:val="28"/>
        </w:rPr>
      </w:pPr>
    </w:p>
    <w:p w:rsidR="00D93EF0" w:rsidRPr="004C2337" w:rsidRDefault="00D93EF0" w:rsidP="00D93EF0">
      <w:pPr>
        <w:rPr>
          <w:rFonts w:ascii="Arial" w:hAnsi="Arial" w:cs="Arial"/>
          <w:b/>
          <w:bCs/>
          <w:sz w:val="28"/>
          <w:szCs w:val="28"/>
        </w:rPr>
      </w:pPr>
      <w:r w:rsidRPr="004C2337">
        <w:rPr>
          <w:rFonts w:ascii="Arial" w:hAnsi="Arial" w:cs="Arial"/>
          <w:b/>
          <w:bCs/>
          <w:sz w:val="28"/>
          <w:szCs w:val="28"/>
        </w:rPr>
        <w:t>Policy Letter 01-2015</w:t>
      </w:r>
    </w:p>
    <w:p w:rsidR="00D93EF0" w:rsidRPr="004C2337" w:rsidRDefault="00D93EF0" w:rsidP="00D93EF0">
      <w:pPr>
        <w:rPr>
          <w:rFonts w:ascii="Arial" w:hAnsi="Arial" w:cs="Arial"/>
          <w:b/>
          <w:bCs/>
        </w:rPr>
      </w:pPr>
      <w:r w:rsidRPr="004C2337">
        <w:rPr>
          <w:rFonts w:ascii="Arial" w:hAnsi="Arial" w:cs="Arial"/>
          <w:b/>
          <w:bCs/>
          <w:sz w:val="28"/>
          <w:szCs w:val="28"/>
        </w:rPr>
        <w:t>Policy: Policy Letter Procedures</w:t>
      </w:r>
      <w:r>
        <w:rPr>
          <w:rFonts w:ascii="Arial" w:hAnsi="Arial" w:cs="Arial"/>
          <w:noProof/>
        </w:rPr>
        <mc:AlternateContent>
          <mc:Choice Requires="wps">
            <w:drawing>
              <wp:anchor distT="0" distB="0" distL="114300" distR="114300" simplePos="0" relativeHeight="251661312" behindDoc="1" locked="1" layoutInCell="0" allowOverlap="1" wp14:anchorId="10556C55" wp14:editId="3829ACF4">
                <wp:simplePos x="0" y="0"/>
                <wp:positionH relativeFrom="page">
                  <wp:posOffset>914400</wp:posOffset>
                </wp:positionH>
                <wp:positionV relativeFrom="paragraph">
                  <wp:posOffset>0</wp:posOffset>
                </wp:positionV>
                <wp:extent cx="5486400" cy="635"/>
                <wp:effectExtent l="0" t="381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880A2"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rsidR="00D93EF0" w:rsidRPr="00D93EF0" w:rsidRDefault="00D93EF0" w:rsidP="00D93EF0">
      <w:pPr>
        <w:rPr>
          <w:rFonts w:ascii="Arial" w:hAnsi="Arial" w:cs="Arial"/>
          <w:b/>
        </w:rPr>
      </w:pPr>
      <w:r w:rsidRPr="00D93EF0">
        <w:rPr>
          <w:rFonts w:ascii="Arial" w:hAnsi="Arial" w:cs="Arial"/>
          <w:b/>
        </w:rPr>
        <w:t>PURPOSE</w:t>
      </w:r>
    </w:p>
    <w:p w:rsidR="00D93EF0" w:rsidRPr="00D93EF0" w:rsidRDefault="00D93EF0" w:rsidP="00D93EF0">
      <w:pPr>
        <w:rPr>
          <w:rFonts w:ascii="Arial" w:hAnsi="Arial" w:cs="Arial"/>
        </w:rPr>
      </w:pPr>
      <w:r w:rsidRPr="00D93EF0">
        <w:rPr>
          <w:rFonts w:ascii="Arial" w:hAnsi="Arial" w:cs="Arial"/>
        </w:rPr>
        <w:t>To develop Workforce Innovation Opportunity Act (WIOA) operational policy and procedures for Workforce Development Area 16 (WDB-16) that are in compliance with rules and regulations under the WIOA, as well as all applicable local, state and federal laws.</w:t>
      </w:r>
    </w:p>
    <w:p w:rsidR="00D93EF0" w:rsidRPr="00D93EF0" w:rsidRDefault="00D93EF0" w:rsidP="00D93EF0">
      <w:pPr>
        <w:rPr>
          <w:rFonts w:ascii="Arial" w:hAnsi="Arial" w:cs="Arial"/>
        </w:rPr>
      </w:pPr>
    </w:p>
    <w:p w:rsidR="00D93EF0" w:rsidRPr="00D93EF0" w:rsidRDefault="00D93EF0" w:rsidP="00D93EF0">
      <w:pPr>
        <w:pStyle w:val="Level1"/>
        <w:tabs>
          <w:tab w:val="left" w:pos="-1440"/>
          <w:tab w:val="num" w:pos="720"/>
        </w:tabs>
        <w:rPr>
          <w:rFonts w:ascii="Arial" w:hAnsi="Arial" w:cs="Arial"/>
          <w:b/>
          <w:sz w:val="22"/>
          <w:szCs w:val="22"/>
        </w:rPr>
      </w:pPr>
      <w:r w:rsidRPr="00D93EF0">
        <w:rPr>
          <w:rFonts w:ascii="Arial" w:hAnsi="Arial" w:cs="Arial"/>
          <w:b/>
          <w:sz w:val="22"/>
          <w:szCs w:val="22"/>
        </w:rPr>
        <w:t xml:space="preserve">WORKFORCE DEVELOPMENT BOARD APPROVAL  </w:t>
      </w:r>
    </w:p>
    <w:p w:rsidR="00D93EF0" w:rsidRPr="00D93EF0" w:rsidRDefault="00D93EF0" w:rsidP="00D93EF0">
      <w:pPr>
        <w:ind w:firstLine="720"/>
        <w:rPr>
          <w:rFonts w:ascii="Arial" w:hAnsi="Arial" w:cs="Arial"/>
        </w:rPr>
      </w:pPr>
      <w:r w:rsidRPr="00D93EF0">
        <w:rPr>
          <w:rFonts w:ascii="Arial" w:hAnsi="Arial" w:cs="Arial"/>
        </w:rPr>
        <w:t>Motion 28-2015 approved on August 28, 2015.</w:t>
      </w:r>
    </w:p>
    <w:p w:rsidR="00D93EF0" w:rsidRPr="00D93EF0" w:rsidRDefault="00D93EF0" w:rsidP="00D93EF0">
      <w:pPr>
        <w:rPr>
          <w:rFonts w:ascii="Arial" w:hAnsi="Arial" w:cs="Arial"/>
        </w:rPr>
      </w:pPr>
    </w:p>
    <w:p w:rsidR="00D93EF0" w:rsidRPr="00D93EF0" w:rsidRDefault="00D93EF0" w:rsidP="00D93EF0">
      <w:pPr>
        <w:pStyle w:val="Level1"/>
        <w:tabs>
          <w:tab w:val="left" w:pos="-1440"/>
          <w:tab w:val="num" w:pos="720"/>
        </w:tabs>
        <w:rPr>
          <w:rFonts w:ascii="Arial" w:hAnsi="Arial" w:cs="Arial"/>
          <w:b/>
          <w:sz w:val="22"/>
          <w:szCs w:val="22"/>
        </w:rPr>
      </w:pPr>
      <w:r w:rsidRPr="00D93EF0">
        <w:rPr>
          <w:rFonts w:ascii="Arial" w:hAnsi="Arial" w:cs="Arial"/>
          <w:b/>
          <w:sz w:val="22"/>
          <w:szCs w:val="22"/>
        </w:rPr>
        <w:t>POLICY CANCELLATION</w:t>
      </w:r>
    </w:p>
    <w:p w:rsidR="00D93EF0" w:rsidRPr="00D93EF0" w:rsidRDefault="00D93EF0" w:rsidP="00D93EF0">
      <w:pPr>
        <w:pStyle w:val="Level1"/>
        <w:numPr>
          <w:ilvl w:val="0"/>
          <w:numId w:val="0"/>
        </w:numPr>
        <w:tabs>
          <w:tab w:val="left" w:pos="-1440"/>
        </w:tabs>
        <w:ind w:left="720"/>
        <w:rPr>
          <w:rFonts w:ascii="Arial" w:hAnsi="Arial" w:cs="Arial"/>
          <w:sz w:val="22"/>
          <w:szCs w:val="22"/>
        </w:rPr>
      </w:pPr>
    </w:p>
    <w:p w:rsidR="00D93EF0" w:rsidRPr="00D93EF0" w:rsidRDefault="00D93EF0" w:rsidP="00D93EF0">
      <w:pPr>
        <w:pStyle w:val="Level1"/>
        <w:numPr>
          <w:ilvl w:val="0"/>
          <w:numId w:val="0"/>
        </w:numPr>
        <w:tabs>
          <w:tab w:val="left" w:pos="-1440"/>
        </w:tabs>
        <w:ind w:left="720"/>
        <w:rPr>
          <w:rFonts w:ascii="Arial" w:hAnsi="Arial" w:cs="Arial"/>
          <w:sz w:val="22"/>
          <w:szCs w:val="22"/>
        </w:rPr>
      </w:pPr>
      <w:r w:rsidRPr="00D93EF0">
        <w:rPr>
          <w:rFonts w:ascii="Arial" w:hAnsi="Arial" w:cs="Arial"/>
          <w:sz w:val="22"/>
          <w:szCs w:val="22"/>
        </w:rPr>
        <w:t>Policy Letter 01-2004 approved July 29, 2004</w:t>
      </w:r>
    </w:p>
    <w:p w:rsidR="00D93EF0" w:rsidRPr="00D93EF0" w:rsidRDefault="00D93EF0" w:rsidP="00D93EF0">
      <w:pPr>
        <w:pStyle w:val="Level1"/>
        <w:numPr>
          <w:ilvl w:val="0"/>
          <w:numId w:val="0"/>
        </w:numPr>
        <w:tabs>
          <w:tab w:val="left" w:pos="-1440"/>
        </w:tabs>
        <w:ind w:left="720"/>
        <w:rPr>
          <w:rFonts w:ascii="Arial" w:hAnsi="Arial" w:cs="Arial"/>
          <w:sz w:val="22"/>
          <w:szCs w:val="22"/>
        </w:rPr>
      </w:pPr>
    </w:p>
    <w:p w:rsidR="00D93EF0" w:rsidRPr="00D93EF0" w:rsidRDefault="00D93EF0" w:rsidP="00D93EF0">
      <w:pPr>
        <w:pStyle w:val="Level1"/>
        <w:tabs>
          <w:tab w:val="left" w:pos="-1440"/>
          <w:tab w:val="num" w:pos="720"/>
        </w:tabs>
        <w:rPr>
          <w:rFonts w:ascii="Arial" w:hAnsi="Arial" w:cs="Arial"/>
          <w:b/>
          <w:sz w:val="22"/>
          <w:szCs w:val="22"/>
        </w:rPr>
      </w:pPr>
      <w:r w:rsidRPr="00D93EF0">
        <w:rPr>
          <w:rFonts w:ascii="Arial" w:hAnsi="Arial" w:cs="Arial"/>
          <w:b/>
          <w:sz w:val="22"/>
          <w:szCs w:val="22"/>
        </w:rPr>
        <w:t>PROCEDURES FOR POLICY REVIEW, APPROVAL AND IMPLEMENTATION</w:t>
      </w:r>
    </w:p>
    <w:p w:rsidR="00D93EF0" w:rsidRPr="00D93EF0" w:rsidRDefault="00D93EF0" w:rsidP="00D93EF0">
      <w:pPr>
        <w:pStyle w:val="Level1"/>
        <w:numPr>
          <w:ilvl w:val="0"/>
          <w:numId w:val="0"/>
        </w:numPr>
        <w:tabs>
          <w:tab w:val="left" w:pos="-1440"/>
        </w:tabs>
        <w:ind w:left="720"/>
        <w:rPr>
          <w:rFonts w:ascii="Arial" w:hAnsi="Arial" w:cs="Arial"/>
          <w:sz w:val="22"/>
          <w:szCs w:val="22"/>
        </w:rPr>
      </w:pPr>
    </w:p>
    <w:p w:rsidR="00D93EF0" w:rsidRPr="00D93EF0" w:rsidRDefault="00D93EF0" w:rsidP="00D93EF0">
      <w:pPr>
        <w:ind w:left="720"/>
        <w:rPr>
          <w:rFonts w:ascii="Arial" w:hAnsi="Arial" w:cs="Arial"/>
        </w:rPr>
      </w:pPr>
      <w:r w:rsidRPr="00D93EF0">
        <w:rPr>
          <w:rFonts w:ascii="Arial" w:hAnsi="Arial" w:cs="Arial"/>
        </w:rPr>
        <w:t>As necessary, policies will be drafted by a committee comprised of the area</w:t>
      </w:r>
      <w:r w:rsidRPr="00D93EF0">
        <w:rPr>
          <w:rFonts w:ascii="Arial" w:hAnsi="Arial" w:cs="Arial"/>
        </w:rPr>
        <w:sym w:font="WP TypographicSymbols" w:char="003D"/>
      </w:r>
      <w:r w:rsidRPr="00D93EF0">
        <w:rPr>
          <w:rFonts w:ascii="Arial" w:hAnsi="Arial" w:cs="Arial"/>
        </w:rPr>
        <w:t>s Workforce Development Agencies and/or Subcontractors as appropriate.  These policies will be sent in draft format to the WDB-16 for review and eventual approval.</w:t>
      </w:r>
    </w:p>
    <w:p w:rsidR="00D93EF0" w:rsidRPr="00D93EF0" w:rsidRDefault="00D93EF0" w:rsidP="00D93EF0">
      <w:pPr>
        <w:rPr>
          <w:rFonts w:ascii="Arial" w:hAnsi="Arial" w:cs="Arial"/>
        </w:rPr>
      </w:pPr>
    </w:p>
    <w:p w:rsidR="00D93EF0" w:rsidRPr="00D93EF0" w:rsidRDefault="00D93EF0" w:rsidP="00D93EF0">
      <w:pPr>
        <w:pStyle w:val="Level1"/>
        <w:tabs>
          <w:tab w:val="left" w:pos="-1440"/>
          <w:tab w:val="num" w:pos="720"/>
        </w:tabs>
        <w:rPr>
          <w:rFonts w:ascii="Arial" w:hAnsi="Arial" w:cs="Arial"/>
          <w:b/>
          <w:sz w:val="22"/>
          <w:szCs w:val="22"/>
        </w:rPr>
      </w:pPr>
      <w:r w:rsidRPr="00D93EF0">
        <w:rPr>
          <w:rFonts w:ascii="Arial" w:hAnsi="Arial" w:cs="Arial"/>
          <w:b/>
          <w:sz w:val="22"/>
          <w:szCs w:val="22"/>
        </w:rPr>
        <w:t>STORAGE AND RETENTION</w:t>
      </w:r>
    </w:p>
    <w:p w:rsidR="00D93EF0" w:rsidRPr="00D93EF0" w:rsidRDefault="00D93EF0" w:rsidP="00D93EF0">
      <w:pPr>
        <w:ind w:left="720"/>
        <w:rPr>
          <w:rFonts w:ascii="Arial" w:hAnsi="Arial" w:cs="Arial"/>
        </w:rPr>
      </w:pPr>
      <w:r w:rsidRPr="00D93EF0">
        <w:rPr>
          <w:rFonts w:ascii="Arial" w:hAnsi="Arial" w:cs="Arial"/>
        </w:rPr>
        <w:t>All policies are sequentially numbered by year, upon approval by WDB.  Policies will be maintained by the staff of the WDB with copies provided to respective County Workforce Development agencies and applicable subcontractors.</w:t>
      </w:r>
    </w:p>
    <w:p w:rsidR="00D93EF0" w:rsidRPr="00D93EF0" w:rsidRDefault="00D93EF0" w:rsidP="00D93EF0">
      <w:pPr>
        <w:rPr>
          <w:rFonts w:ascii="Arial" w:hAnsi="Arial" w:cs="Arial"/>
        </w:rPr>
      </w:pPr>
    </w:p>
    <w:p w:rsidR="00D93EF0" w:rsidRPr="00D93EF0" w:rsidRDefault="00D93EF0" w:rsidP="00D93EF0">
      <w:pPr>
        <w:pStyle w:val="Level1"/>
        <w:tabs>
          <w:tab w:val="left" w:pos="-1440"/>
          <w:tab w:val="num" w:pos="720"/>
        </w:tabs>
        <w:rPr>
          <w:rFonts w:ascii="Arial" w:hAnsi="Arial" w:cs="Arial"/>
          <w:b/>
          <w:sz w:val="22"/>
          <w:szCs w:val="22"/>
        </w:rPr>
      </w:pPr>
      <w:r w:rsidRPr="00D93EF0">
        <w:rPr>
          <w:rFonts w:ascii="Arial" w:hAnsi="Arial" w:cs="Arial"/>
          <w:b/>
          <w:sz w:val="22"/>
          <w:szCs w:val="22"/>
        </w:rPr>
        <w:t>REQUIREMENTS</w:t>
      </w:r>
    </w:p>
    <w:p w:rsidR="00D93EF0" w:rsidRPr="00D93EF0" w:rsidRDefault="00D93EF0" w:rsidP="00D93EF0">
      <w:pPr>
        <w:ind w:left="720"/>
        <w:rPr>
          <w:rFonts w:ascii="Arial" w:hAnsi="Arial" w:cs="Arial"/>
          <w:b/>
          <w:bCs/>
        </w:rPr>
      </w:pPr>
      <w:r w:rsidRPr="00D93EF0">
        <w:rPr>
          <w:rFonts w:ascii="Arial" w:hAnsi="Arial" w:cs="Arial"/>
        </w:rPr>
        <w:t xml:space="preserve">All requirements mandated by WIOA, and all other applicable Local, State and Federal requirements as they apply to the WIOA will be met.  Additional added requirements may be added at the discretion of the WDB.  </w:t>
      </w:r>
    </w:p>
    <w:p w:rsidR="00D93EF0" w:rsidRPr="00D93EF0" w:rsidRDefault="00D93EF0" w:rsidP="00D93EF0">
      <w:pPr>
        <w:rPr>
          <w:rFonts w:ascii="Arial" w:hAnsi="Arial" w:cs="Arial"/>
          <w:b/>
          <w:bCs/>
        </w:rPr>
      </w:pPr>
    </w:p>
    <w:p w:rsidR="00D93EF0" w:rsidRPr="00D93EF0" w:rsidRDefault="00D93EF0" w:rsidP="00D93EF0">
      <w:pPr>
        <w:pStyle w:val="Level1"/>
        <w:tabs>
          <w:tab w:val="left" w:pos="-1440"/>
          <w:tab w:val="num" w:pos="720"/>
        </w:tabs>
        <w:rPr>
          <w:rFonts w:ascii="Arial" w:hAnsi="Arial" w:cs="Arial"/>
          <w:b/>
          <w:sz w:val="22"/>
          <w:szCs w:val="22"/>
        </w:rPr>
      </w:pPr>
      <w:r w:rsidRPr="00D93EF0">
        <w:rPr>
          <w:rFonts w:ascii="Arial" w:hAnsi="Arial" w:cs="Arial"/>
          <w:b/>
          <w:sz w:val="22"/>
          <w:szCs w:val="22"/>
        </w:rPr>
        <w:t>DURATION</w:t>
      </w:r>
    </w:p>
    <w:p w:rsidR="00D93EF0" w:rsidRPr="00D93EF0" w:rsidRDefault="00D93EF0" w:rsidP="00D93EF0">
      <w:pPr>
        <w:ind w:left="720"/>
        <w:rPr>
          <w:rFonts w:ascii="Arial" w:hAnsi="Arial" w:cs="Arial"/>
          <w:b/>
          <w:bCs/>
        </w:rPr>
      </w:pPr>
      <w:r w:rsidRPr="00D93EF0">
        <w:rPr>
          <w:rFonts w:ascii="Arial" w:hAnsi="Arial" w:cs="Arial"/>
        </w:rPr>
        <w:t xml:space="preserve">An approved policy is in effect until superseded by a revision or repealed by the WDB. </w:t>
      </w:r>
    </w:p>
    <w:p w:rsidR="00D93EF0" w:rsidRDefault="00D93EF0" w:rsidP="00D93EF0">
      <w:pPr>
        <w:rPr>
          <w:rFonts w:ascii="Arial" w:hAnsi="Arial" w:cs="Arial"/>
          <w:b/>
          <w:bCs/>
        </w:rPr>
      </w:pPr>
    </w:p>
    <w:p w:rsidR="009C5771" w:rsidRPr="00D93EF0" w:rsidRDefault="00D93EF0" w:rsidP="00D93EF0">
      <w:pPr>
        <w:rPr>
          <w:rFonts w:ascii="Arial" w:hAnsi="Arial" w:cs="Arial"/>
          <w:b/>
          <w:bCs/>
        </w:rPr>
      </w:pPr>
      <w:r>
        <w:rPr>
          <w:rFonts w:ascii="Arial" w:hAnsi="Arial" w:cs="Arial"/>
          <w:b/>
          <w:bCs/>
        </w:rPr>
        <w:t>END</w:t>
      </w:r>
      <w:bookmarkStart w:id="0" w:name="_GoBack"/>
      <w:bookmarkEnd w:id="0"/>
    </w:p>
    <w:sectPr w:rsidR="009C5771" w:rsidRPr="00D93EF0"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9B" w:rsidRDefault="00691E9B" w:rsidP="006A0FA7">
      <w:pPr>
        <w:spacing w:after="0" w:line="240" w:lineRule="auto"/>
      </w:pPr>
      <w:r>
        <w:separator/>
      </w:r>
    </w:p>
  </w:endnote>
  <w:endnote w:type="continuationSeparator" w:id="0">
    <w:p w:rsidR="00691E9B" w:rsidRDefault="00691E9B"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D93EF0">
          <w:rPr>
            <w:noProof/>
          </w:rPr>
          <w:t>1</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9B" w:rsidRDefault="00691E9B" w:rsidP="006A0FA7">
      <w:pPr>
        <w:spacing w:after="0" w:line="240" w:lineRule="auto"/>
      </w:pPr>
      <w:r>
        <w:separator/>
      </w:r>
    </w:p>
  </w:footnote>
  <w:footnote w:type="continuationSeparator" w:id="0">
    <w:p w:rsidR="00691E9B" w:rsidRDefault="00691E9B"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5"/>
  </w:num>
  <w:num w:numId="2">
    <w:abstractNumId w:val="5"/>
  </w:num>
  <w:num w:numId="3">
    <w:abstractNumId w:val="12"/>
  </w:num>
  <w:num w:numId="4">
    <w:abstractNumId w:val="3"/>
  </w:num>
  <w:num w:numId="5">
    <w:abstractNumId w:val="4"/>
  </w:num>
  <w:num w:numId="6">
    <w:abstractNumId w:val="7"/>
  </w:num>
  <w:num w:numId="7">
    <w:abstractNumId w:val="8"/>
  </w:num>
  <w:num w:numId="8">
    <w:abstractNumId w:val="9"/>
  </w:num>
  <w:num w:numId="9">
    <w:abstractNumId w:val="1"/>
  </w:num>
  <w:num w:numId="10">
    <w:abstractNumId w:val="2"/>
  </w:num>
  <w:num w:numId="11">
    <w:abstractNumId w:val="14"/>
  </w:num>
  <w:num w:numId="12">
    <w:abstractNumId w:val="10"/>
  </w:num>
  <w:num w:numId="13">
    <w:abstractNumId w:val="16"/>
  </w:num>
  <w:num w:numId="14">
    <w:abstractNumId w:val="17"/>
  </w:num>
  <w:num w:numId="15">
    <w:abstractNumId w:val="11"/>
  </w:num>
  <w:num w:numId="16">
    <w:abstractNumId w:val="6"/>
  </w:num>
  <w:num w:numId="17">
    <w:abstractNumId w:val="13"/>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1D5A0D"/>
    <w:rsid w:val="001D7C92"/>
    <w:rsid w:val="00224225"/>
    <w:rsid w:val="0022425E"/>
    <w:rsid w:val="002D2043"/>
    <w:rsid w:val="00301F24"/>
    <w:rsid w:val="003A2FC5"/>
    <w:rsid w:val="00436F24"/>
    <w:rsid w:val="004E0958"/>
    <w:rsid w:val="004F7A17"/>
    <w:rsid w:val="0052489D"/>
    <w:rsid w:val="00554BC4"/>
    <w:rsid w:val="005A3B8F"/>
    <w:rsid w:val="005D571D"/>
    <w:rsid w:val="005E4C04"/>
    <w:rsid w:val="00691E9B"/>
    <w:rsid w:val="00696858"/>
    <w:rsid w:val="006A0FA7"/>
    <w:rsid w:val="006A4E73"/>
    <w:rsid w:val="00825A5B"/>
    <w:rsid w:val="00927A94"/>
    <w:rsid w:val="00953CC8"/>
    <w:rsid w:val="00973CA8"/>
    <w:rsid w:val="009C5771"/>
    <w:rsid w:val="009C790B"/>
    <w:rsid w:val="009E129D"/>
    <w:rsid w:val="00A40B97"/>
    <w:rsid w:val="00A864C9"/>
    <w:rsid w:val="00B86049"/>
    <w:rsid w:val="00C10A7F"/>
    <w:rsid w:val="00C567D1"/>
    <w:rsid w:val="00C84D99"/>
    <w:rsid w:val="00CA3C83"/>
    <w:rsid w:val="00D4232D"/>
    <w:rsid w:val="00D93EF0"/>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D93EF0"/>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2</cp:revision>
  <cp:lastPrinted>2017-10-08T19:04:00Z</cp:lastPrinted>
  <dcterms:created xsi:type="dcterms:W3CDTF">2019-01-23T02:47:00Z</dcterms:created>
  <dcterms:modified xsi:type="dcterms:W3CDTF">2019-01-23T02:47:00Z</dcterms:modified>
</cp:coreProperties>
</file>