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CF78" w14:textId="77777777" w:rsidR="005B192A" w:rsidRDefault="00B86049">
      <w:r>
        <w:rPr>
          <w:noProof/>
        </w:rPr>
        <mc:AlternateContent>
          <mc:Choice Requires="wps">
            <w:drawing>
              <wp:anchor distT="0" distB="0" distL="114300" distR="114300" simplePos="0" relativeHeight="251659264" behindDoc="0" locked="0" layoutInCell="1" allowOverlap="1" wp14:anchorId="7118C790" wp14:editId="5EACD5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8C79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7920471" wp14:editId="27C1320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908E6A4" w14:textId="77777777" w:rsidR="005B192A" w:rsidRDefault="005B192A" w:rsidP="005B192A"/>
    <w:p w14:paraId="2584F653" w14:textId="03EEFF55" w:rsidR="005B192A" w:rsidRPr="005B192A" w:rsidRDefault="005B192A" w:rsidP="005B192A">
      <w:pPr>
        <w:spacing w:after="0"/>
        <w:rPr>
          <w:b/>
          <w:sz w:val="28"/>
          <w:szCs w:val="28"/>
        </w:rPr>
      </w:pPr>
      <w:r w:rsidRPr="005B192A">
        <w:rPr>
          <w:b/>
          <w:sz w:val="28"/>
          <w:szCs w:val="28"/>
        </w:rPr>
        <w:t xml:space="preserve">Policy Letter </w:t>
      </w:r>
      <w:r w:rsidR="00A15C13" w:rsidRPr="002454E7">
        <w:rPr>
          <w:b/>
          <w:sz w:val="28"/>
          <w:szCs w:val="28"/>
        </w:rPr>
        <w:t>0</w:t>
      </w:r>
      <w:r w:rsidR="00C62E9D">
        <w:rPr>
          <w:b/>
          <w:sz w:val="28"/>
          <w:szCs w:val="28"/>
        </w:rPr>
        <w:t>4</w:t>
      </w:r>
      <w:r w:rsidR="005B424A" w:rsidRPr="002454E7">
        <w:rPr>
          <w:b/>
          <w:sz w:val="28"/>
          <w:szCs w:val="28"/>
        </w:rPr>
        <w:t>-202</w:t>
      </w:r>
      <w:r w:rsidR="00BC6987" w:rsidRPr="002454E7">
        <w:rPr>
          <w:b/>
          <w:sz w:val="28"/>
          <w:szCs w:val="28"/>
        </w:rPr>
        <w:t>1</w:t>
      </w:r>
      <w:r w:rsidR="00DA09D8">
        <w:rPr>
          <w:b/>
          <w:sz w:val="28"/>
          <w:szCs w:val="28"/>
        </w:rPr>
        <w:t xml:space="preserve">    </w:t>
      </w:r>
    </w:p>
    <w:p w14:paraId="59FCD252" w14:textId="02C61276" w:rsidR="00163028" w:rsidRDefault="005B192A" w:rsidP="00163028">
      <w:pPr>
        <w:spacing w:after="0"/>
        <w:rPr>
          <w:b/>
          <w:sz w:val="28"/>
          <w:szCs w:val="28"/>
        </w:rPr>
      </w:pPr>
      <w:r w:rsidRPr="005B192A">
        <w:rPr>
          <w:b/>
          <w:sz w:val="28"/>
          <w:szCs w:val="28"/>
        </w:rPr>
        <w:t>Policy: Use of Individual Training Accounts (ITAs)</w:t>
      </w:r>
    </w:p>
    <w:p w14:paraId="03BEDD49" w14:textId="0AADD1A5" w:rsidR="00C62E9D" w:rsidRDefault="00C62E9D" w:rsidP="00163028">
      <w:pPr>
        <w:spacing w:after="0"/>
        <w:rPr>
          <w:b/>
          <w:sz w:val="24"/>
          <w:szCs w:val="24"/>
        </w:rPr>
      </w:pPr>
      <w:r w:rsidRPr="00424508">
        <w:rPr>
          <w:b/>
          <w:sz w:val="24"/>
          <w:szCs w:val="24"/>
        </w:rPr>
        <w:t xml:space="preserve">Revised 3/11/22 Motion </w:t>
      </w:r>
      <w:r w:rsidR="00424508" w:rsidRPr="00424508">
        <w:rPr>
          <w:b/>
          <w:sz w:val="24"/>
          <w:szCs w:val="24"/>
        </w:rPr>
        <w:t>05</w:t>
      </w:r>
      <w:r w:rsidRPr="00424508">
        <w:rPr>
          <w:b/>
          <w:sz w:val="24"/>
          <w:szCs w:val="24"/>
        </w:rPr>
        <w:t>-2022</w:t>
      </w:r>
    </w:p>
    <w:p w14:paraId="49504B0E" w14:textId="2FA52B9F" w:rsidR="00A44C3C" w:rsidRPr="00C62E9D" w:rsidRDefault="00A44C3C" w:rsidP="00163028">
      <w:pPr>
        <w:spacing w:after="0"/>
        <w:rPr>
          <w:b/>
          <w:sz w:val="24"/>
          <w:szCs w:val="24"/>
        </w:rPr>
      </w:pPr>
      <w:r w:rsidRPr="00BC27C2">
        <w:rPr>
          <w:b/>
          <w:sz w:val="24"/>
          <w:szCs w:val="24"/>
        </w:rPr>
        <w:t xml:space="preserve">Revised 3/10/23 Motion </w:t>
      </w:r>
      <w:r w:rsidR="00BC27C2" w:rsidRPr="00BC27C2">
        <w:rPr>
          <w:b/>
          <w:sz w:val="24"/>
          <w:szCs w:val="24"/>
        </w:rPr>
        <w:t>05</w:t>
      </w:r>
      <w:r w:rsidRPr="00BC27C2">
        <w:rPr>
          <w:b/>
          <w:sz w:val="24"/>
          <w:szCs w:val="24"/>
        </w:rPr>
        <w:t>-2023</w:t>
      </w:r>
    </w:p>
    <w:p w14:paraId="531D6EFA"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        </w:t>
      </w:r>
      <w:r w:rsidRPr="005B192A">
        <w:rPr>
          <w:rFonts w:eastAsia="Times New Roman" w:cstheme="minorHAnsi"/>
          <w:b/>
          <w:bCs/>
          <w:color w:val="000000"/>
          <w:u w:val="single"/>
        </w:rPr>
        <w:t>Purpose</w:t>
      </w:r>
    </w:p>
    <w:p w14:paraId="2B3748D5" w14:textId="262F6B94" w:rsidR="005B192A" w:rsidRPr="005B192A" w:rsidRDefault="005B192A"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 xml:space="preserve">A. </w:t>
      </w:r>
      <w:r w:rsidRPr="005B192A">
        <w:rPr>
          <w:rFonts w:eastAsia="Times New Roman" w:cstheme="minorHAnsi"/>
          <w:color w:val="000000"/>
        </w:rPr>
        <w:t xml:space="preserve">The purpose of this policy is to identify the parameters </w:t>
      </w:r>
      <w:r w:rsidRPr="00BB0D35">
        <w:rPr>
          <w:rFonts w:eastAsia="Times New Roman" w:cstheme="minorHAnsi"/>
          <w:color w:val="000000"/>
        </w:rPr>
        <w:t>to implement</w:t>
      </w:r>
      <w:r w:rsidR="003B107F">
        <w:rPr>
          <w:rFonts w:eastAsia="Times New Roman" w:cstheme="minorHAnsi"/>
          <w:color w:val="000000"/>
        </w:rPr>
        <w:t xml:space="preserve"> a</w:t>
      </w:r>
      <w:r w:rsidRPr="005B192A">
        <w:rPr>
          <w:rFonts w:eastAsia="Times New Roman" w:cstheme="minorHAnsi"/>
          <w:color w:val="000000"/>
        </w:rPr>
        <w:t xml:space="preserve"> </w:t>
      </w:r>
      <w:r w:rsidR="00A137C9" w:rsidRPr="00BB0D35">
        <w:rPr>
          <w:rFonts w:eastAsia="Times New Roman" w:cstheme="minorHAnsi"/>
          <w:color w:val="000000"/>
        </w:rPr>
        <w:t>Workforce Development Area 16</w:t>
      </w:r>
      <w:r w:rsidR="00A137C9" w:rsidRPr="005B192A">
        <w:rPr>
          <w:rFonts w:eastAsia="Times New Roman" w:cstheme="minorHAnsi"/>
          <w:color w:val="000000"/>
        </w:rPr>
        <w:t xml:space="preserve"> </w:t>
      </w:r>
      <w:r w:rsidR="00A137C9" w:rsidRPr="00BB0D35">
        <w:rPr>
          <w:rFonts w:eastAsia="Times New Roman" w:cstheme="minorHAnsi"/>
          <w:color w:val="000000"/>
        </w:rPr>
        <w:t>(WDA16)</w:t>
      </w:r>
      <w:r w:rsidRPr="005B192A">
        <w:rPr>
          <w:rFonts w:eastAsia="Times New Roman" w:cstheme="minorHAnsi"/>
          <w:color w:val="000000"/>
        </w:rPr>
        <w:t xml:space="preserve"> Individual Training Account (ITA) policy and to standardize the delivery of </w:t>
      </w:r>
      <w:r w:rsidR="00BB0D35" w:rsidRPr="005B192A">
        <w:rPr>
          <w:rFonts w:eastAsia="Times New Roman" w:cstheme="minorHAnsi"/>
          <w:color w:val="000000"/>
        </w:rPr>
        <w:t xml:space="preserve">ITAs </w:t>
      </w:r>
      <w:r w:rsidR="00BB0D35" w:rsidRPr="00BB0D35">
        <w:rPr>
          <w:rFonts w:eastAsia="Times New Roman" w:cstheme="minorHAnsi"/>
          <w:color w:val="000000"/>
        </w:rPr>
        <w:t>in</w:t>
      </w:r>
      <w:r w:rsidR="00A137C9" w:rsidRPr="00BB0D35">
        <w:rPr>
          <w:rFonts w:eastAsia="Times New Roman" w:cstheme="minorHAnsi"/>
          <w:color w:val="000000"/>
        </w:rPr>
        <w:t xml:space="preserve"> </w:t>
      </w:r>
      <w:r w:rsidRPr="00BB0D35">
        <w:rPr>
          <w:rFonts w:eastAsia="Times New Roman" w:cstheme="minorHAnsi"/>
          <w:color w:val="000000"/>
        </w:rPr>
        <w:t>WDA16,</w:t>
      </w:r>
      <w:r w:rsidR="00A137C9" w:rsidRPr="00BB0D35">
        <w:rPr>
          <w:rFonts w:eastAsia="Times New Roman" w:cstheme="minorHAnsi"/>
          <w:color w:val="000000"/>
        </w:rPr>
        <w:t xml:space="preserve"> consistently providing</w:t>
      </w:r>
      <w:r w:rsidRPr="005B192A">
        <w:rPr>
          <w:rFonts w:eastAsia="Times New Roman" w:cstheme="minorHAnsi"/>
          <w:color w:val="000000"/>
        </w:rPr>
        <w:t xml:space="preserve"> training opportunities to participants leading to employment in an in-demand occupation</w:t>
      </w:r>
      <w:r w:rsidR="00DA09D8">
        <w:rPr>
          <w:rFonts w:eastAsia="Times New Roman" w:cstheme="minorHAnsi"/>
          <w:color w:val="000000"/>
        </w:rPr>
        <w:t xml:space="preserve">s </w:t>
      </w:r>
      <w:r w:rsidR="00DA09D8" w:rsidRPr="00A15C13">
        <w:rPr>
          <w:rFonts w:eastAsia="Times New Roman" w:cstheme="minorHAnsi"/>
          <w:color w:val="000000"/>
        </w:rPr>
        <w:t>or critical jobs</w:t>
      </w:r>
      <w:r w:rsidRPr="00A15C13">
        <w:rPr>
          <w:rFonts w:eastAsia="Times New Roman" w:cstheme="minorHAnsi"/>
          <w:color w:val="000000"/>
        </w:rPr>
        <w:t>.</w:t>
      </w:r>
    </w:p>
    <w:p w14:paraId="02F1EF52"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II.       </w:t>
      </w:r>
      <w:r w:rsidRPr="005B192A">
        <w:rPr>
          <w:rFonts w:eastAsia="Times New Roman" w:cstheme="minorHAnsi"/>
          <w:b/>
          <w:bCs/>
          <w:color w:val="000000"/>
          <w:u w:val="single"/>
        </w:rPr>
        <w:t>Effective Date</w:t>
      </w:r>
    </w:p>
    <w:p w14:paraId="1676CB66" w14:textId="6E87440E" w:rsidR="005B192A" w:rsidRPr="002454E7"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2454E7">
        <w:rPr>
          <w:rFonts w:eastAsia="Times New Roman" w:cstheme="minorHAnsi"/>
          <w:color w:val="000000"/>
        </w:rPr>
        <w:t>Motion</w:t>
      </w:r>
      <w:r w:rsidR="00A15C13" w:rsidRPr="002454E7">
        <w:rPr>
          <w:rFonts w:eastAsia="Times New Roman" w:cstheme="minorHAnsi"/>
          <w:color w:val="000000"/>
        </w:rPr>
        <w:t xml:space="preserve"> </w:t>
      </w:r>
      <w:r w:rsidR="00C62E9D">
        <w:rPr>
          <w:rFonts w:eastAsia="Times New Roman" w:cstheme="minorHAnsi"/>
          <w:color w:val="000000"/>
        </w:rPr>
        <w:t>39</w:t>
      </w:r>
      <w:r w:rsidR="00BC6987" w:rsidRPr="002454E7">
        <w:rPr>
          <w:rFonts w:eastAsia="Times New Roman" w:cstheme="minorHAnsi"/>
          <w:color w:val="000000"/>
        </w:rPr>
        <w:t>-2021</w:t>
      </w:r>
      <w:r w:rsidR="00F7743A" w:rsidRPr="002454E7">
        <w:rPr>
          <w:rFonts w:eastAsia="Times New Roman" w:cstheme="minorHAnsi"/>
          <w:color w:val="000000"/>
        </w:rPr>
        <w:t xml:space="preserve"> approved</w:t>
      </w:r>
      <w:r w:rsidRPr="002454E7">
        <w:rPr>
          <w:rFonts w:eastAsia="Times New Roman" w:cstheme="minorHAnsi"/>
          <w:color w:val="000000"/>
        </w:rPr>
        <w:t xml:space="preserve"> on </w:t>
      </w:r>
      <w:r w:rsidR="00BC6987" w:rsidRPr="002454E7">
        <w:rPr>
          <w:rFonts w:eastAsia="Times New Roman" w:cstheme="minorHAnsi"/>
          <w:color w:val="000000"/>
        </w:rPr>
        <w:t>December 10, 2021</w:t>
      </w:r>
      <w:r w:rsidR="00BC27C2">
        <w:rPr>
          <w:rFonts w:eastAsia="Times New Roman" w:cstheme="minorHAnsi"/>
          <w:color w:val="000000"/>
        </w:rPr>
        <w:t>.</w:t>
      </w:r>
      <w:r w:rsidRPr="002454E7">
        <w:rPr>
          <w:rFonts w:eastAsia="Times New Roman" w:cstheme="minorHAnsi"/>
          <w:color w:val="000000"/>
        </w:rPr>
        <w:t xml:space="preserve">  This replaces Policy Letter </w:t>
      </w:r>
      <w:r w:rsidR="00BC6987" w:rsidRPr="002454E7">
        <w:rPr>
          <w:rFonts w:eastAsia="Times New Roman" w:cstheme="minorHAnsi"/>
          <w:color w:val="000000"/>
        </w:rPr>
        <w:t>03-2020</w:t>
      </w:r>
      <w:r w:rsidRPr="002454E7">
        <w:rPr>
          <w:rFonts w:eastAsia="Times New Roman" w:cstheme="minorHAnsi"/>
          <w:color w:val="000000"/>
        </w:rPr>
        <w:t>.</w:t>
      </w:r>
    </w:p>
    <w:p w14:paraId="6665BAC8" w14:textId="2D9006BA"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 xml:space="preserve">This Policy is in </w:t>
      </w:r>
      <w:r w:rsidR="00A137C9" w:rsidRPr="00A15C13">
        <w:rPr>
          <w:rFonts w:eastAsia="Times New Roman" w:cstheme="minorHAnsi"/>
          <w:color w:val="000000"/>
        </w:rPr>
        <w:t>compliance</w:t>
      </w:r>
      <w:r w:rsidRPr="00A15C13">
        <w:rPr>
          <w:rFonts w:eastAsia="Times New Roman" w:cstheme="minorHAnsi"/>
          <w:color w:val="000000"/>
        </w:rPr>
        <w:t xml:space="preserve"> with Ohio WIOAPL 15-</w:t>
      </w:r>
      <w:r w:rsidR="00BB0D35" w:rsidRPr="00A15C13">
        <w:rPr>
          <w:rFonts w:eastAsia="Times New Roman" w:cstheme="minorHAnsi"/>
          <w:color w:val="000000"/>
        </w:rPr>
        <w:t>11</w:t>
      </w:r>
      <w:r w:rsidR="00DA09D8" w:rsidRPr="002454E7">
        <w:rPr>
          <w:rFonts w:eastAsia="Times New Roman" w:cstheme="minorHAnsi"/>
          <w:color w:val="000000"/>
        </w:rPr>
        <w:t>.</w:t>
      </w:r>
      <w:r w:rsidR="00BC6987" w:rsidRPr="002454E7">
        <w:rPr>
          <w:rFonts w:eastAsia="Times New Roman" w:cstheme="minorHAnsi"/>
          <w:color w:val="000000"/>
        </w:rPr>
        <w:t>3</w:t>
      </w:r>
      <w:r w:rsidR="00BB0D35" w:rsidRPr="002454E7">
        <w:rPr>
          <w:rFonts w:eastAsia="Times New Roman" w:cstheme="minorHAnsi"/>
          <w:color w:val="000000"/>
        </w:rPr>
        <w:t>.</w:t>
      </w:r>
    </w:p>
    <w:p w14:paraId="67BB7A5F" w14:textId="77777777" w:rsidR="005B192A" w:rsidRDefault="005B192A" w:rsidP="005B192A">
      <w:pPr>
        <w:spacing w:before="100" w:beforeAutospacing="1" w:after="100" w:afterAutospacing="1" w:line="240" w:lineRule="auto"/>
        <w:ind w:left="720" w:hanging="720"/>
        <w:rPr>
          <w:rFonts w:eastAsia="Times New Roman" w:cstheme="minorHAnsi"/>
          <w:b/>
          <w:bCs/>
          <w:color w:val="000000"/>
          <w:u w:val="single"/>
        </w:rPr>
      </w:pPr>
      <w:r w:rsidRPr="00BB0D35">
        <w:rPr>
          <w:rFonts w:eastAsia="Times New Roman" w:cstheme="minorHAnsi"/>
          <w:b/>
          <w:bCs/>
          <w:color w:val="000000"/>
        </w:rPr>
        <w:t>III</w:t>
      </w:r>
      <w:r w:rsidRPr="005B192A">
        <w:rPr>
          <w:rFonts w:eastAsia="Times New Roman" w:cstheme="minorHAnsi"/>
          <w:b/>
          <w:bCs/>
          <w:color w:val="000000"/>
        </w:rPr>
        <w:t>.      </w:t>
      </w:r>
      <w:r w:rsidRPr="005B192A">
        <w:rPr>
          <w:rFonts w:eastAsia="Times New Roman" w:cstheme="minorHAnsi"/>
          <w:b/>
          <w:bCs/>
          <w:color w:val="000000"/>
          <w:u w:val="single"/>
        </w:rPr>
        <w:t>Background</w:t>
      </w:r>
    </w:p>
    <w:p w14:paraId="1E52880C" w14:textId="77777777" w:rsidR="00CE58D3" w:rsidRPr="00CE58D3" w:rsidRDefault="00CE58D3" w:rsidP="00CE58D3">
      <w:pPr>
        <w:pStyle w:val="ListParagraph"/>
        <w:numPr>
          <w:ilvl w:val="0"/>
          <w:numId w:val="16"/>
        </w:num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Overview</w:t>
      </w:r>
    </w:p>
    <w:p w14:paraId="5F39FFA9"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A program of training services is one or more courses or classes, or a structured regimen that provides the services that are listed in 20 C.F.R. 680.200 and leads to:</w:t>
      </w:r>
    </w:p>
    <w:p w14:paraId="4F11E54A" w14:textId="245778E4"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 xml:space="preserve">1.       An industry-recognized certificate or certification, a certification of completion of a registered </w:t>
      </w:r>
      <w:r w:rsidRPr="002454E7">
        <w:rPr>
          <w:rFonts w:eastAsia="Times New Roman" w:cstheme="minorHAnsi"/>
          <w:color w:val="000000"/>
        </w:rPr>
        <w:t>apprenticeship</w:t>
      </w:r>
      <w:r w:rsidR="00892B40" w:rsidRPr="002454E7">
        <w:rPr>
          <w:rFonts w:eastAsia="Times New Roman" w:cstheme="minorHAnsi"/>
          <w:color w:val="000000"/>
        </w:rPr>
        <w:t xml:space="preserve"> (RA)</w:t>
      </w:r>
      <w:r w:rsidRPr="002454E7">
        <w:rPr>
          <w:rFonts w:eastAsia="Times New Roman" w:cstheme="minorHAnsi"/>
          <w:color w:val="000000"/>
        </w:rPr>
        <w:t>,</w:t>
      </w:r>
      <w:r w:rsidRPr="005B192A">
        <w:rPr>
          <w:rFonts w:eastAsia="Times New Roman" w:cstheme="minorHAnsi"/>
          <w:color w:val="000000"/>
        </w:rPr>
        <w:t xml:space="preserve"> a license recognized by Ohio or the Federal government, or an associate or baccalaureate degree;</w:t>
      </w:r>
    </w:p>
    <w:p w14:paraId="7C961B20"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A secondary school diploma or its equivalent;</w:t>
      </w:r>
    </w:p>
    <w:p w14:paraId="259B9343"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Employment; or</w:t>
      </w:r>
    </w:p>
    <w:p w14:paraId="5C6D35E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4.       Measurable skill gains toward a credential described in paragraphs 1 and 2 of this section or employment.</w:t>
      </w:r>
    </w:p>
    <w:p w14:paraId="64B99A1C" w14:textId="0D6D309D"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To be eligible for training services, the local area or the Comprehensive Case Management and Employment Program (CCMEP) lead agency must determine wheth</w:t>
      </w:r>
      <w:r w:rsidR="00A56D78">
        <w:rPr>
          <w:rFonts w:eastAsia="Times New Roman" w:cstheme="minorHAnsi"/>
          <w:color w:val="000000"/>
        </w:rPr>
        <w:t xml:space="preserve">er adult, dislocated worker, </w:t>
      </w:r>
      <w:r w:rsidRPr="005B192A">
        <w:rPr>
          <w:rFonts w:eastAsia="Times New Roman" w:cstheme="minorHAnsi"/>
          <w:color w:val="000000"/>
        </w:rPr>
        <w:t>out-of-</w:t>
      </w:r>
      <w:r w:rsidRPr="00A15C13">
        <w:rPr>
          <w:rFonts w:eastAsia="Times New Roman" w:cstheme="minorHAnsi"/>
          <w:color w:val="000000"/>
        </w:rPr>
        <w:t xml:space="preserve">school </w:t>
      </w:r>
      <w:r w:rsidR="00DA09D8" w:rsidRPr="00A15C13">
        <w:rPr>
          <w:rFonts w:eastAsia="Times New Roman" w:cstheme="minorHAnsi"/>
          <w:color w:val="000000"/>
        </w:rPr>
        <w:t>and</w:t>
      </w:r>
      <w:r w:rsidR="00892B40">
        <w:rPr>
          <w:rFonts w:eastAsia="Times New Roman" w:cstheme="minorHAnsi"/>
          <w:color w:val="000000"/>
        </w:rPr>
        <w:t>,</w:t>
      </w:r>
      <w:r w:rsidR="00DA09D8" w:rsidRPr="00A15C13">
        <w:rPr>
          <w:rFonts w:eastAsia="Times New Roman" w:cstheme="minorHAnsi"/>
          <w:color w:val="000000"/>
        </w:rPr>
        <w:t xml:space="preserve"> per waiver authority in-school </w:t>
      </w:r>
      <w:r w:rsidRPr="00A15C13">
        <w:rPr>
          <w:rFonts w:eastAsia="Times New Roman" w:cstheme="minorHAnsi"/>
          <w:color w:val="000000"/>
        </w:rPr>
        <w:t>youth participants are appropriate for training services.  Determination of appropriateness</w:t>
      </w:r>
      <w:r w:rsidRPr="005B192A">
        <w:rPr>
          <w:rFonts w:eastAsia="Times New Roman" w:cstheme="minorHAnsi"/>
          <w:color w:val="000000"/>
        </w:rPr>
        <w:t xml:space="preserve"> </w:t>
      </w:r>
      <w:r w:rsidR="00892B40" w:rsidRPr="002454E7">
        <w:rPr>
          <w:rFonts w:eastAsia="Times New Roman" w:cstheme="minorHAnsi"/>
          <w:color w:val="000000"/>
        </w:rPr>
        <w:t>will</w:t>
      </w:r>
      <w:r w:rsidRPr="002454E7">
        <w:rPr>
          <w:rFonts w:eastAsia="Times New Roman" w:cstheme="minorHAnsi"/>
          <w:color w:val="000000"/>
        </w:rPr>
        <w:t xml:space="preserve"> be</w:t>
      </w:r>
      <w:r w:rsidRPr="005B192A">
        <w:rPr>
          <w:rFonts w:eastAsia="Times New Roman" w:cstheme="minorHAnsi"/>
          <w:color w:val="000000"/>
        </w:rPr>
        <w:t xml:space="preserve"> done by completion of an interview, evaluation or assessment, and career planning.  Assessment may include, among other things;</w:t>
      </w:r>
    </w:p>
    <w:p w14:paraId="3F5A110B"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 combination of standardized tests;</w:t>
      </w:r>
    </w:p>
    <w:p w14:paraId="7D4CA9E9"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lastRenderedPageBreak/>
        <w:t>2.       Inventory of participant's interests, skills assessment, career exploration, and</w:t>
      </w:r>
    </w:p>
    <w:p w14:paraId="011F447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Available labor market information.</w:t>
      </w:r>
    </w:p>
    <w:p w14:paraId="27921D3D" w14:textId="76F12EB7" w:rsid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Training services must be provided in a manner which maximizes informed consumer choice in selecting an eligible provider. When participants and local areas select an eligible training provider</w:t>
      </w:r>
      <w:r w:rsidR="00323AC8">
        <w:rPr>
          <w:rFonts w:eastAsia="Times New Roman" w:cstheme="minorHAnsi"/>
          <w:color w:val="000000"/>
        </w:rPr>
        <w:t xml:space="preserve"> </w:t>
      </w:r>
      <w:r w:rsidR="00323AC8" w:rsidRPr="00AB47B4">
        <w:rPr>
          <w:rFonts w:eastAsia="Times New Roman" w:cstheme="minorHAnsi"/>
          <w:color w:val="000000"/>
        </w:rPr>
        <w:t>(ETP)</w:t>
      </w:r>
      <w:r w:rsidRPr="00AB47B4">
        <w:rPr>
          <w:rFonts w:eastAsia="Times New Roman" w:cstheme="minorHAnsi"/>
          <w:color w:val="000000"/>
        </w:rPr>
        <w:t>,</w:t>
      </w:r>
      <w:r w:rsidRPr="005B192A">
        <w:rPr>
          <w:rFonts w:eastAsia="Times New Roman" w:cstheme="minorHAnsi"/>
          <w:color w:val="000000"/>
        </w:rPr>
        <w:t xml:space="preserve"> they should consider providers who are eligible for financial aid to ensure best utilization of Workforce Innovation and Opportunity Act (WIOA) funds.</w:t>
      </w:r>
    </w:p>
    <w:p w14:paraId="0981EEF8" w14:textId="159C537F" w:rsidR="00BB0D35" w:rsidRPr="00892B40" w:rsidRDefault="00BB0D35" w:rsidP="002454E7">
      <w:pPr>
        <w:spacing w:before="100" w:beforeAutospacing="1" w:after="100" w:afterAutospacing="1" w:line="240" w:lineRule="auto"/>
        <w:ind w:left="720" w:hanging="720"/>
        <w:rPr>
          <w:rFonts w:eastAsia="Times New Roman" w:cstheme="minorHAnsi"/>
          <w:color w:val="FF0000"/>
        </w:rPr>
      </w:pPr>
      <w:r>
        <w:rPr>
          <w:rFonts w:eastAsia="Times New Roman" w:cstheme="minorHAnsi"/>
          <w:b/>
          <w:bCs/>
          <w:color w:val="000000"/>
        </w:rPr>
        <w:t>I</w:t>
      </w:r>
      <w:r w:rsidRPr="005B192A">
        <w:rPr>
          <w:rFonts w:eastAsia="Times New Roman" w:cstheme="minorHAnsi"/>
          <w:b/>
          <w:bCs/>
          <w:color w:val="000000"/>
        </w:rPr>
        <w:t>V.       </w:t>
      </w:r>
      <w:r w:rsidRPr="005B192A">
        <w:rPr>
          <w:rFonts w:eastAsia="Times New Roman" w:cstheme="minorHAnsi"/>
          <w:b/>
          <w:bCs/>
          <w:color w:val="000000"/>
          <w:u w:val="single"/>
        </w:rPr>
        <w:t>Definitions</w:t>
      </w:r>
      <w:r w:rsidR="002454E7">
        <w:rPr>
          <w:rFonts w:eastAsia="Times New Roman" w:cstheme="minorHAnsi"/>
          <w:b/>
          <w:bCs/>
          <w:color w:val="000000"/>
          <w:u w:val="single"/>
        </w:rPr>
        <w:t xml:space="preserve">: </w:t>
      </w:r>
      <w:r w:rsidR="002454E7" w:rsidRPr="002454E7">
        <w:rPr>
          <w:rFonts w:eastAsia="Times New Roman" w:cstheme="minorHAnsi"/>
          <w:color w:val="000000"/>
        </w:rPr>
        <w:t xml:space="preserve">See attached </w:t>
      </w:r>
      <w:r w:rsidR="00BC27C2" w:rsidRPr="002454E7">
        <w:rPr>
          <w:rFonts w:eastAsia="Times New Roman" w:cstheme="minorHAnsi"/>
          <w:color w:val="000000"/>
        </w:rPr>
        <w:t>Glossary.</w:t>
      </w:r>
    </w:p>
    <w:p w14:paraId="303CA977" w14:textId="77777777" w:rsidR="00CE58D3" w:rsidRPr="005B192A" w:rsidRDefault="00CE58D3" w:rsidP="00CE58D3">
      <w:p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V</w:t>
      </w:r>
      <w:r>
        <w:rPr>
          <w:rFonts w:eastAsia="Times New Roman" w:cstheme="minorHAnsi"/>
          <w:b/>
          <w:color w:val="000000"/>
        </w:rPr>
        <w:t>.</w:t>
      </w:r>
      <w:r w:rsidRPr="00CE58D3">
        <w:rPr>
          <w:rFonts w:eastAsia="Times New Roman" w:cstheme="minorHAnsi"/>
          <w:b/>
          <w:color w:val="000000"/>
        </w:rPr>
        <w:t xml:space="preserve"> </w:t>
      </w:r>
      <w:r>
        <w:rPr>
          <w:rFonts w:eastAsia="Times New Roman" w:cstheme="minorHAnsi"/>
          <w:b/>
          <w:color w:val="000000"/>
        </w:rPr>
        <w:t xml:space="preserve">       </w:t>
      </w:r>
      <w:r w:rsidRPr="00CE58D3">
        <w:rPr>
          <w:rFonts w:eastAsia="Times New Roman" w:cstheme="minorHAnsi"/>
          <w:b/>
          <w:color w:val="000000"/>
          <w:u w:val="single"/>
        </w:rPr>
        <w:t>Policy Letter Implementation</w:t>
      </w:r>
    </w:p>
    <w:p w14:paraId="223DF86C"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A.       Individual Training Accounts</w:t>
      </w:r>
    </w:p>
    <w:p w14:paraId="3E7017EF" w14:textId="013297CF"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Eligibility information, combined with assessment information, help determine the need for training assistance. Additionally, local areas or CCMEP lead agencies must review family self-sufficiency if the ITA is provided to an</w:t>
      </w:r>
      <w:r w:rsidR="00A56D78">
        <w:rPr>
          <w:rFonts w:eastAsia="Times New Roman" w:cstheme="minorHAnsi"/>
          <w:color w:val="000000"/>
        </w:rPr>
        <w:t xml:space="preserve"> adult</w:t>
      </w:r>
      <w:r w:rsidR="00892B40">
        <w:rPr>
          <w:rFonts w:eastAsia="Times New Roman" w:cstheme="minorHAnsi"/>
          <w:color w:val="000000"/>
        </w:rPr>
        <w:t xml:space="preserve"> </w:t>
      </w:r>
      <w:r w:rsidR="00892B40" w:rsidRPr="002454E7">
        <w:rPr>
          <w:rFonts w:eastAsia="Times New Roman" w:cstheme="minorHAnsi"/>
          <w:color w:val="000000"/>
        </w:rPr>
        <w:t>or youth</w:t>
      </w:r>
      <w:r w:rsidR="00A56D78">
        <w:rPr>
          <w:rFonts w:eastAsia="Times New Roman" w:cstheme="minorHAnsi"/>
          <w:color w:val="000000"/>
        </w:rPr>
        <w:t xml:space="preserve"> participant age 18-24</w:t>
      </w:r>
      <w:r w:rsidR="00892B40">
        <w:rPr>
          <w:rFonts w:eastAsia="Times New Roman" w:cstheme="minorHAnsi"/>
          <w:color w:val="000000"/>
        </w:rPr>
        <w:t>.</w:t>
      </w:r>
      <w:r w:rsidRPr="005B192A">
        <w:rPr>
          <w:rFonts w:eastAsia="Times New Roman" w:cstheme="minorHAnsi"/>
          <w:color w:val="000000"/>
        </w:rPr>
        <w:t>  WIOAPL No. 15-09.1, </w:t>
      </w:r>
      <w:r w:rsidRPr="005B192A">
        <w:rPr>
          <w:rFonts w:eastAsia="Times New Roman" w:cstheme="minorHAnsi"/>
          <w:color w:val="000000"/>
          <w:u w:val="single"/>
        </w:rPr>
        <w:t xml:space="preserve">Training Services for Adults and Dislocated </w:t>
      </w:r>
      <w:r w:rsidR="00F7743A" w:rsidRPr="005B192A">
        <w:rPr>
          <w:rFonts w:eastAsia="Times New Roman" w:cstheme="minorHAnsi"/>
          <w:color w:val="000000"/>
          <w:u w:val="single"/>
        </w:rPr>
        <w:t>Workers</w:t>
      </w:r>
      <w:r w:rsidR="00F7743A">
        <w:rPr>
          <w:rFonts w:eastAsia="Times New Roman" w:cstheme="minorHAnsi"/>
          <w:color w:val="000000"/>
        </w:rPr>
        <w:t xml:space="preserve">, </w:t>
      </w:r>
      <w:r w:rsidR="00F7743A" w:rsidRPr="005B192A">
        <w:rPr>
          <w:rFonts w:eastAsia="Times New Roman" w:cstheme="minorHAnsi"/>
          <w:color w:val="000000"/>
        </w:rPr>
        <w:t>WIOAPL</w:t>
      </w:r>
      <w:r w:rsidRPr="005B192A">
        <w:rPr>
          <w:rFonts w:eastAsia="Times New Roman" w:cstheme="minorHAnsi"/>
          <w:color w:val="000000"/>
        </w:rPr>
        <w:t xml:space="preserve"> No. 15-10, </w:t>
      </w:r>
      <w:r w:rsidRPr="005B192A">
        <w:rPr>
          <w:rFonts w:eastAsia="Times New Roman" w:cstheme="minorHAnsi"/>
          <w:color w:val="000000"/>
          <w:u w:val="single"/>
        </w:rPr>
        <w:t>Youth Program Services</w:t>
      </w:r>
      <w:r w:rsidRPr="005B192A">
        <w:rPr>
          <w:rFonts w:eastAsia="Times New Roman" w:cstheme="minorHAnsi"/>
          <w:color w:val="000000"/>
        </w:rPr>
        <w:t>,</w:t>
      </w:r>
      <w:r w:rsidR="00A56D78">
        <w:rPr>
          <w:rFonts w:eastAsia="Times New Roman" w:cstheme="minorHAnsi"/>
          <w:color w:val="000000"/>
        </w:rPr>
        <w:t xml:space="preserve"> </w:t>
      </w:r>
      <w:r w:rsidR="00A56D78" w:rsidRPr="00680D37">
        <w:rPr>
          <w:rFonts w:eastAsia="Times New Roman" w:cstheme="minorHAnsi"/>
          <w:color w:val="000000"/>
        </w:rPr>
        <w:t xml:space="preserve">and WIOAPL 17-04, </w:t>
      </w:r>
      <w:r w:rsidR="00A56D78" w:rsidRPr="00680D37">
        <w:rPr>
          <w:rFonts w:eastAsia="Times New Roman" w:cstheme="minorHAnsi"/>
          <w:color w:val="000000"/>
          <w:u w:val="single"/>
        </w:rPr>
        <w:t xml:space="preserve">Waivers for Implementation of </w:t>
      </w:r>
      <w:r w:rsidR="00F7743A" w:rsidRPr="00680D37">
        <w:rPr>
          <w:rFonts w:eastAsia="Times New Roman" w:cstheme="minorHAnsi"/>
          <w:color w:val="000000"/>
          <w:u w:val="single"/>
        </w:rPr>
        <w:t>CCMEP</w:t>
      </w:r>
      <w:r w:rsidR="00F7743A" w:rsidRPr="00680D37">
        <w:rPr>
          <w:rFonts w:eastAsia="Times New Roman" w:cstheme="minorHAnsi"/>
          <w:color w:val="000000"/>
        </w:rPr>
        <w:t>,</w:t>
      </w:r>
      <w:r w:rsidR="00F7743A">
        <w:rPr>
          <w:rFonts w:eastAsia="Times New Roman" w:cstheme="minorHAnsi"/>
          <w:color w:val="000000"/>
        </w:rPr>
        <w:t xml:space="preserve"> </w:t>
      </w:r>
      <w:r w:rsidR="00F7743A" w:rsidRPr="005B192A">
        <w:rPr>
          <w:rFonts w:eastAsia="Times New Roman" w:cstheme="minorHAnsi"/>
          <w:color w:val="000000"/>
        </w:rPr>
        <w:t>provide</w:t>
      </w:r>
      <w:r w:rsidRPr="005B192A">
        <w:rPr>
          <w:rFonts w:eastAsia="Times New Roman" w:cstheme="minorHAnsi"/>
          <w:color w:val="000000"/>
        </w:rPr>
        <w:t xml:space="preserve"> further direction for determining appropriateness for training services for adults, dislocated workers</w:t>
      </w:r>
      <w:r w:rsidRPr="00680D37">
        <w:rPr>
          <w:rFonts w:eastAsia="Times New Roman" w:cstheme="minorHAnsi"/>
          <w:color w:val="000000"/>
        </w:rPr>
        <w:t xml:space="preserve">, </w:t>
      </w:r>
      <w:r w:rsidRPr="00892B40">
        <w:rPr>
          <w:rFonts w:eastAsia="Times New Roman" w:cstheme="minorHAnsi"/>
        </w:rPr>
        <w:t>and</w:t>
      </w:r>
      <w:r w:rsidR="00A56D78" w:rsidRPr="00892B40">
        <w:rPr>
          <w:rFonts w:eastAsia="Times New Roman" w:cstheme="minorHAnsi"/>
          <w:color w:val="FF0000"/>
        </w:rPr>
        <w:t xml:space="preserve"> </w:t>
      </w:r>
      <w:r w:rsidRPr="005B192A">
        <w:rPr>
          <w:rFonts w:eastAsia="Times New Roman" w:cstheme="minorHAnsi"/>
          <w:color w:val="000000"/>
        </w:rPr>
        <w:t xml:space="preserve">youth.  Limits to training services may be based on the needs of the adult, dislocated worker, or youth and identified in the individual employment </w:t>
      </w:r>
      <w:r w:rsidRPr="00FB1D7B">
        <w:rPr>
          <w:rFonts w:eastAsia="Times New Roman" w:cstheme="minorHAnsi"/>
          <w:color w:val="000000"/>
        </w:rPr>
        <w:t xml:space="preserve">plan </w:t>
      </w:r>
      <w:r w:rsidR="00892B40" w:rsidRPr="00FB1D7B">
        <w:rPr>
          <w:rFonts w:eastAsia="Times New Roman" w:cstheme="minorHAnsi"/>
          <w:color w:val="000000"/>
        </w:rPr>
        <w:t>(IEP)</w:t>
      </w:r>
      <w:r w:rsidR="00892B40">
        <w:rPr>
          <w:rFonts w:eastAsia="Times New Roman" w:cstheme="minorHAnsi"/>
          <w:color w:val="000000"/>
        </w:rPr>
        <w:t xml:space="preserve"> </w:t>
      </w:r>
      <w:r w:rsidRPr="005B192A">
        <w:rPr>
          <w:rFonts w:eastAsia="Times New Roman" w:cstheme="minorHAnsi"/>
          <w:color w:val="000000"/>
        </w:rPr>
        <w:t>or the individual service strategy</w:t>
      </w:r>
      <w:r w:rsidR="00892B40">
        <w:rPr>
          <w:rFonts w:eastAsia="Times New Roman" w:cstheme="minorHAnsi"/>
          <w:color w:val="000000"/>
        </w:rPr>
        <w:t xml:space="preserve"> </w:t>
      </w:r>
      <w:r w:rsidR="00892B40" w:rsidRPr="00FB1D7B">
        <w:rPr>
          <w:rFonts w:eastAsia="Times New Roman" w:cstheme="minorHAnsi"/>
          <w:color w:val="000000"/>
        </w:rPr>
        <w:t>(ISS)</w:t>
      </w:r>
      <w:r w:rsidRPr="00FB1D7B">
        <w:rPr>
          <w:rFonts w:eastAsia="Times New Roman" w:cstheme="minorHAnsi"/>
          <w:color w:val="000000"/>
        </w:rPr>
        <w:t>,</w:t>
      </w:r>
      <w:r w:rsidRPr="005B192A">
        <w:rPr>
          <w:rFonts w:eastAsia="Times New Roman" w:cstheme="minorHAnsi"/>
          <w:color w:val="000000"/>
        </w:rPr>
        <w:t xml:space="preserve"> such as the participant’s occupational choice or goal and the level of training to succeed in that goal.</w:t>
      </w:r>
    </w:p>
    <w:p w14:paraId="6D52F759" w14:textId="272F970D"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for adults, dislocated workers, </w:t>
      </w:r>
      <w:r w:rsidRPr="00680D37">
        <w:rPr>
          <w:rFonts w:eastAsia="Times New Roman" w:cstheme="minorHAnsi"/>
          <w:color w:val="000000"/>
        </w:rPr>
        <w:t xml:space="preserve">and </w:t>
      </w:r>
      <w:r w:rsidRPr="005B192A">
        <w:rPr>
          <w:rFonts w:eastAsia="Times New Roman" w:cstheme="minorHAnsi"/>
          <w:color w:val="000000"/>
        </w:rPr>
        <w:t>youth are typically provided by training providers who receive payment for their services through an ITA.  An ITA is a key tool used in the delivery of training services and is one of the primary methods through which training is financed and provided. ITAs are established on behalf of the WIOA participant to purchase a program of training services from eligible providers selected in consultation with the case manager. Additionally, the cost of training, time commitment of the participant, fees and books, tuition, and other associated costs should be considered when conducting a cost benefit analysis for the ITA.</w:t>
      </w:r>
    </w:p>
    <w:p w14:paraId="7FD32D52" w14:textId="7B2E7E38" w:rsidR="00F62EE2" w:rsidRPr="005B192A" w:rsidRDefault="005B192A" w:rsidP="00323AC8">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Per WIOAPL No. 15-09.1, WIOAPL No. 15-10, and rule 5101:14-1-02 of the Administrative Code, training services for which ITAs are used shall only be delivered by providers who have met the eligibility criteria </w:t>
      </w:r>
      <w:r w:rsidRPr="00FB1D7B">
        <w:rPr>
          <w:rFonts w:eastAsia="Times New Roman" w:cstheme="minorHAnsi"/>
          <w:color w:val="000000"/>
        </w:rPr>
        <w:t xml:space="preserve">and </w:t>
      </w:r>
      <w:r w:rsidR="00892B40" w:rsidRPr="00FB1D7B">
        <w:rPr>
          <w:rFonts w:eastAsia="Times New Roman" w:cstheme="minorHAnsi"/>
          <w:color w:val="000000"/>
        </w:rPr>
        <w:t xml:space="preserve">have at least one (1) approved program </w:t>
      </w:r>
      <w:r w:rsidRPr="00FB1D7B">
        <w:rPr>
          <w:rFonts w:eastAsia="Times New Roman" w:cstheme="minorHAnsi"/>
          <w:color w:val="000000"/>
        </w:rPr>
        <w:t xml:space="preserve">on the </w:t>
      </w:r>
      <w:r w:rsidR="00323AC8" w:rsidRPr="00FB1D7B">
        <w:rPr>
          <w:rFonts w:eastAsia="Times New Roman" w:cstheme="minorHAnsi"/>
          <w:color w:val="000000"/>
        </w:rPr>
        <w:t xml:space="preserve">ETP list contained on the </w:t>
      </w:r>
      <w:r w:rsidRPr="00FB1D7B">
        <w:rPr>
          <w:rFonts w:eastAsia="Times New Roman" w:cstheme="minorHAnsi"/>
          <w:color w:val="000000"/>
        </w:rPr>
        <w:t>Workforce</w:t>
      </w:r>
      <w:r w:rsidRPr="005B192A">
        <w:rPr>
          <w:rFonts w:eastAsia="Times New Roman" w:cstheme="minorHAnsi"/>
          <w:color w:val="000000"/>
        </w:rPr>
        <w:t xml:space="preserve"> Inventory of Education and Training (WIET) pursuant to section 122 of WIOA.</w:t>
      </w:r>
    </w:p>
    <w:p w14:paraId="4EC519ED" w14:textId="77777777" w:rsidR="00323AC8"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Training services under ITAs must be provided in a manner that maximizes informed customer choice in selecting an eligible training provider</w:t>
      </w:r>
      <w:r w:rsidR="00323AC8">
        <w:rPr>
          <w:rFonts w:eastAsia="Times New Roman" w:cstheme="minorHAnsi"/>
          <w:color w:val="000000"/>
        </w:rPr>
        <w:t xml:space="preserve"> </w:t>
      </w:r>
      <w:r w:rsidR="00323AC8" w:rsidRPr="00FB1D7B">
        <w:rPr>
          <w:rFonts w:eastAsia="Times New Roman" w:cstheme="minorHAnsi"/>
          <w:color w:val="000000"/>
        </w:rPr>
        <w:t>(ETP)</w:t>
      </w:r>
      <w:r w:rsidRPr="00FB1D7B">
        <w:rPr>
          <w:rFonts w:eastAsia="Times New Roman" w:cstheme="minorHAnsi"/>
          <w:color w:val="000000"/>
        </w:rPr>
        <w:t>.</w:t>
      </w:r>
      <w:r w:rsidRPr="005B192A">
        <w:rPr>
          <w:rFonts w:eastAsia="Times New Roman" w:cstheme="minorHAnsi"/>
          <w:color w:val="000000"/>
        </w:rPr>
        <w:t xml:space="preserve">  </w:t>
      </w:r>
      <w:r w:rsidR="00A137C9" w:rsidRPr="00BB0D35">
        <w:rPr>
          <w:rFonts w:eastAsia="Times New Roman" w:cstheme="minorHAnsi"/>
          <w:color w:val="000000"/>
        </w:rPr>
        <w:t>Workforce Development Board 16 (WDB16)</w:t>
      </w:r>
      <w:r w:rsidRPr="005B192A">
        <w:rPr>
          <w:rFonts w:eastAsia="Times New Roman" w:cstheme="minorHAnsi"/>
          <w:color w:val="000000"/>
        </w:rPr>
        <w:t xml:space="preserve">, </w:t>
      </w:r>
      <w:r w:rsidR="00A137C9" w:rsidRPr="00BB0D35">
        <w:rPr>
          <w:rFonts w:eastAsia="Times New Roman" w:cstheme="minorHAnsi"/>
          <w:color w:val="000000"/>
        </w:rPr>
        <w:t xml:space="preserve">through the </w:t>
      </w:r>
      <w:r w:rsidRPr="005B192A">
        <w:rPr>
          <w:rFonts w:eastAsia="Times New Roman" w:cstheme="minorHAnsi"/>
          <w:color w:val="000000"/>
        </w:rPr>
        <w:t xml:space="preserve">OhioMeansJobs </w:t>
      </w:r>
      <w:r w:rsidR="002366AA">
        <w:rPr>
          <w:rFonts w:eastAsia="Times New Roman" w:cstheme="minorHAnsi"/>
          <w:color w:val="000000"/>
        </w:rPr>
        <w:t>C</w:t>
      </w:r>
      <w:r w:rsidRPr="005B192A">
        <w:rPr>
          <w:rFonts w:eastAsia="Times New Roman" w:cstheme="minorHAnsi"/>
          <w:color w:val="000000"/>
        </w:rPr>
        <w:t>enter</w:t>
      </w:r>
      <w:r w:rsidR="00A137C9" w:rsidRPr="00BB0D35">
        <w:rPr>
          <w:rFonts w:eastAsia="Times New Roman" w:cstheme="minorHAnsi"/>
          <w:color w:val="000000"/>
        </w:rPr>
        <w:t>s in WDA16,</w:t>
      </w:r>
      <w:r w:rsidR="00323AC8">
        <w:rPr>
          <w:rFonts w:eastAsia="Times New Roman" w:cstheme="minorHAnsi"/>
          <w:color w:val="000000"/>
        </w:rPr>
        <w:t xml:space="preserve"> must</w:t>
      </w:r>
      <w:r w:rsidR="00323AC8" w:rsidRPr="00323AC8">
        <w:rPr>
          <w:rFonts w:eastAsia="Times New Roman" w:cstheme="minorHAnsi"/>
          <w:color w:val="C00000"/>
        </w:rPr>
        <w:t xml:space="preserve"> </w:t>
      </w:r>
      <w:r w:rsidRPr="005B192A">
        <w:rPr>
          <w:rFonts w:eastAsia="Times New Roman" w:cstheme="minorHAnsi"/>
          <w:color w:val="000000"/>
        </w:rPr>
        <w:t xml:space="preserve">make available to job seekers the State list of eligible training providers.  </w:t>
      </w:r>
    </w:p>
    <w:p w14:paraId="2BF73C2C" w14:textId="77777777" w:rsidR="00323AC8" w:rsidRDefault="00A137C9" w:rsidP="005B192A">
      <w:pPr>
        <w:spacing w:before="100" w:beforeAutospacing="1" w:after="100" w:afterAutospacing="1" w:line="240" w:lineRule="auto"/>
        <w:ind w:left="1440"/>
        <w:rPr>
          <w:rFonts w:eastAsia="Times New Roman" w:cstheme="minorHAnsi"/>
          <w:color w:val="000000"/>
        </w:rPr>
      </w:pPr>
      <w:r w:rsidRPr="00BB0D35">
        <w:rPr>
          <w:rFonts w:eastAsia="Times New Roman" w:cstheme="minorHAnsi"/>
          <w:color w:val="000000"/>
        </w:rPr>
        <w:t>WDB16</w:t>
      </w:r>
      <w:r w:rsidR="005B192A" w:rsidRPr="005B192A">
        <w:rPr>
          <w:rFonts w:eastAsia="Times New Roman" w:cstheme="minorHAnsi"/>
          <w:color w:val="000000"/>
        </w:rPr>
        <w:t xml:space="preserve"> may also coordinate funding for ITAs with funding from other Federal, State, local, or private job training programs or sources to assist the individual in obtaining training services.  </w:t>
      </w:r>
    </w:p>
    <w:p w14:paraId="3C7F804F" w14:textId="1560DF6E" w:rsid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Priority consideration must be given to training programs that lead to recognized postsecondary credentials that are aligned with in-demand industry sectors</w:t>
      </w:r>
      <w:r w:rsidR="00323AC8">
        <w:rPr>
          <w:rFonts w:eastAsia="Times New Roman" w:cstheme="minorHAnsi"/>
          <w:color w:val="000000"/>
        </w:rPr>
        <w:t xml:space="preserve"> </w:t>
      </w:r>
      <w:r w:rsidR="00323AC8" w:rsidRPr="00FB1D7B">
        <w:rPr>
          <w:rFonts w:eastAsia="Times New Roman" w:cstheme="minorHAnsi"/>
          <w:color w:val="000000"/>
        </w:rPr>
        <w:t>or</w:t>
      </w:r>
      <w:r w:rsidR="002366AA" w:rsidRPr="00A15C13">
        <w:rPr>
          <w:rFonts w:eastAsia="Times New Roman" w:cstheme="minorHAnsi"/>
          <w:color w:val="000000"/>
        </w:rPr>
        <w:t xml:space="preserve"> critical jobs</w:t>
      </w:r>
      <w:r w:rsidR="002366AA" w:rsidRPr="00721778">
        <w:rPr>
          <w:rFonts w:eastAsia="Times New Roman" w:cstheme="minorHAnsi"/>
          <w:color w:val="C00000"/>
        </w:rPr>
        <w:t>,</w:t>
      </w:r>
      <w:r w:rsidRPr="00721778">
        <w:rPr>
          <w:rFonts w:eastAsia="Times New Roman" w:cstheme="minorHAnsi"/>
          <w:color w:val="C00000"/>
        </w:rPr>
        <w:t xml:space="preserve"> </w:t>
      </w:r>
      <w:r w:rsidR="002366AA">
        <w:rPr>
          <w:rFonts w:eastAsia="Times New Roman" w:cstheme="minorHAnsi"/>
          <w:color w:val="000000"/>
        </w:rPr>
        <w:t>in the</w:t>
      </w:r>
      <w:r w:rsidRPr="005B192A">
        <w:rPr>
          <w:rFonts w:eastAsia="Times New Roman" w:cstheme="minorHAnsi"/>
          <w:color w:val="000000"/>
        </w:rPr>
        <w:t xml:space="preserve"> local area.</w:t>
      </w:r>
    </w:p>
    <w:p w14:paraId="40682FAA" w14:textId="77F96924" w:rsidR="00A44C3C" w:rsidRDefault="00A44C3C" w:rsidP="005B192A">
      <w:pPr>
        <w:spacing w:before="100" w:beforeAutospacing="1" w:after="100" w:afterAutospacing="1" w:line="240" w:lineRule="auto"/>
        <w:ind w:left="1440"/>
        <w:rPr>
          <w:rFonts w:eastAsia="Times New Roman" w:cstheme="minorHAnsi"/>
          <w:color w:val="000000"/>
        </w:rPr>
      </w:pPr>
    </w:p>
    <w:p w14:paraId="364388DC" w14:textId="57E62049" w:rsidR="00A44C3C" w:rsidRDefault="00A44C3C" w:rsidP="005B192A">
      <w:pPr>
        <w:spacing w:before="100" w:beforeAutospacing="1" w:after="100" w:afterAutospacing="1" w:line="240" w:lineRule="auto"/>
        <w:ind w:left="1440"/>
        <w:rPr>
          <w:rFonts w:eastAsia="Times New Roman" w:cstheme="minorHAnsi"/>
          <w:color w:val="000000"/>
        </w:rPr>
      </w:pPr>
    </w:p>
    <w:p w14:paraId="32716B7C" w14:textId="77777777" w:rsidR="00A44C3C" w:rsidRPr="005B192A" w:rsidRDefault="00A44C3C" w:rsidP="005B192A">
      <w:pPr>
        <w:spacing w:before="100" w:beforeAutospacing="1" w:after="100" w:afterAutospacing="1" w:line="240" w:lineRule="auto"/>
        <w:ind w:left="1440"/>
        <w:rPr>
          <w:rFonts w:eastAsia="Times New Roman" w:cstheme="minorHAnsi"/>
          <w:color w:val="000000"/>
        </w:rPr>
      </w:pPr>
    </w:p>
    <w:p w14:paraId="026A3111"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B.       Registered Apprenticeship Programs and Individual Training Accounts</w:t>
      </w:r>
    </w:p>
    <w:p w14:paraId="3EE90EE6" w14:textId="1CC0A16C"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Registered </w:t>
      </w:r>
      <w:r w:rsidRPr="00FB1D7B">
        <w:rPr>
          <w:rFonts w:eastAsia="Times New Roman" w:cstheme="minorHAnsi"/>
          <w:color w:val="000000"/>
        </w:rPr>
        <w:t>apprenticeship</w:t>
      </w:r>
      <w:r w:rsidR="00721778" w:rsidRPr="00FB1D7B">
        <w:rPr>
          <w:rFonts w:eastAsia="Times New Roman" w:cstheme="minorHAnsi"/>
          <w:color w:val="000000"/>
        </w:rPr>
        <w:t xml:space="preserve"> (RA)</w:t>
      </w:r>
      <w:r w:rsidRPr="005B192A">
        <w:rPr>
          <w:rFonts w:eastAsia="Times New Roman" w:cstheme="minorHAnsi"/>
          <w:color w:val="000000"/>
        </w:rPr>
        <w:t xml:space="preserve"> is a proven model of job preparation that combines paid on-the-job training (OJT) with related instruction to progressively increase a workers’ skill levels and wages.  </w:t>
      </w:r>
      <w:r w:rsidR="00721778">
        <w:rPr>
          <w:rFonts w:eastAsia="Times New Roman" w:cstheme="minorHAnsi"/>
          <w:color w:val="000000"/>
        </w:rPr>
        <w:t xml:space="preserve">RA </w:t>
      </w:r>
      <w:r w:rsidRPr="005B192A">
        <w:rPr>
          <w:rFonts w:eastAsia="Times New Roman" w:cstheme="minorHAnsi"/>
          <w:color w:val="000000"/>
        </w:rPr>
        <w:t xml:space="preserve"> is also a proven business-driven model that provides an effective way for employers to recruit, train, and retain highly skilled workers.  Graduates of registered apprenticeship programs </w:t>
      </w:r>
      <w:r w:rsidR="00721778" w:rsidRPr="00FB1D7B">
        <w:rPr>
          <w:rFonts w:eastAsia="Times New Roman" w:cstheme="minorHAnsi"/>
          <w:color w:val="000000"/>
        </w:rPr>
        <w:t>(RAPs)</w:t>
      </w:r>
      <w:r w:rsidR="00721778">
        <w:rPr>
          <w:rFonts w:eastAsia="Times New Roman" w:cstheme="minorHAnsi"/>
          <w:color w:val="000000"/>
        </w:rPr>
        <w:t xml:space="preserve"> </w:t>
      </w:r>
      <w:r w:rsidRPr="005B192A">
        <w:rPr>
          <w:rFonts w:eastAsia="Times New Roman" w:cstheme="minorHAnsi"/>
          <w:color w:val="000000"/>
        </w:rPr>
        <w:t>receive nationally-recognized, portable credentials, and in some instances their training may be applied toward further postsecondary education.</w:t>
      </w:r>
    </w:p>
    <w:p w14:paraId="4C236E14" w14:textId="338582B7" w:rsidR="00721778" w:rsidRPr="00FB1D7B" w:rsidRDefault="00721778" w:rsidP="002366AA">
      <w:pPr>
        <w:spacing w:before="100" w:beforeAutospacing="1" w:after="100" w:afterAutospacing="1" w:line="240" w:lineRule="auto"/>
        <w:ind w:left="1440"/>
        <w:rPr>
          <w:rFonts w:eastAsia="Times New Roman" w:cstheme="minorHAnsi"/>
        </w:rPr>
      </w:pPr>
      <w:r w:rsidRPr="00FB1D7B">
        <w:rPr>
          <w:rFonts w:eastAsia="Times New Roman" w:cstheme="minorHAnsi"/>
        </w:rPr>
        <w:t>ALL RAPs are considered in-demand occupations and are automatically eligible for inclusion on Ohio’s ETP list contained in WIET.  These RAPs must opt-in to the ETP list to be added, as not all sponsors are currently hiring new apprentices and may not want to be included, despite automatic eligibility.  Any local ETP list, where they exist, must be a subset of the statewide ETP list. All RAPs on a statewide ETP list must be included on any local ETP lists.</w:t>
      </w:r>
    </w:p>
    <w:p w14:paraId="23F47349" w14:textId="2E2EDF9F" w:rsidR="00721778" w:rsidRDefault="00721778" w:rsidP="002366AA">
      <w:pPr>
        <w:spacing w:before="100" w:beforeAutospacing="1" w:after="100" w:afterAutospacing="1" w:line="240" w:lineRule="auto"/>
        <w:ind w:left="1440"/>
        <w:rPr>
          <w:rFonts w:eastAsia="Times New Roman" w:cstheme="minorHAnsi"/>
          <w:u w:val="single"/>
        </w:rPr>
      </w:pPr>
      <w:r w:rsidRPr="00FB1D7B">
        <w:rPr>
          <w:rFonts w:eastAsia="Times New Roman" w:cstheme="minorHAnsi"/>
        </w:rPr>
        <w:t xml:space="preserve">ITAs may also be used to finance State-recognized pre-apprenticeship training in preparation for the formal RA training if the pre-apprenticeship program training provider has been approved as an Ohio ETP and is listed on WIET per WIOAPL No. 16.02.1, </w:t>
      </w:r>
      <w:r w:rsidRPr="00FB1D7B">
        <w:rPr>
          <w:rFonts w:eastAsia="Times New Roman" w:cstheme="minorHAnsi"/>
          <w:u w:val="single"/>
        </w:rPr>
        <w:t>Eligible Training Providers.</w:t>
      </w:r>
    </w:p>
    <w:p w14:paraId="0EC602E6" w14:textId="77777777" w:rsidR="004D17E9" w:rsidRPr="00FA672B" w:rsidRDefault="004D17E9" w:rsidP="004D17E9">
      <w:pPr>
        <w:spacing w:before="100" w:beforeAutospacing="1" w:after="100" w:afterAutospacing="1" w:line="240" w:lineRule="auto"/>
        <w:ind w:left="1500"/>
        <w:rPr>
          <w:rFonts w:eastAsia="Times New Roman" w:cstheme="minorHAnsi"/>
          <w:color w:val="C00000"/>
        </w:rPr>
      </w:pPr>
    </w:p>
    <w:p w14:paraId="4AA5D13E" w14:textId="574BD483" w:rsidR="005B192A" w:rsidRPr="005B192A" w:rsidRDefault="00FB1D7B" w:rsidP="005B192A">
      <w:pPr>
        <w:spacing w:before="100" w:beforeAutospacing="1" w:after="100" w:afterAutospacing="1" w:line="240" w:lineRule="auto"/>
        <w:ind w:left="1440" w:hanging="720"/>
        <w:rPr>
          <w:rFonts w:eastAsia="Times New Roman" w:cstheme="minorHAnsi"/>
          <w:b/>
          <w:bCs/>
          <w:color w:val="000000"/>
        </w:rPr>
      </w:pPr>
      <w:r>
        <w:rPr>
          <w:rFonts w:eastAsia="Times New Roman" w:cstheme="minorHAnsi"/>
          <w:b/>
          <w:bCs/>
          <w:color w:val="000000"/>
        </w:rPr>
        <w:t>C</w:t>
      </w:r>
      <w:r w:rsidR="005B192A" w:rsidRPr="005B192A">
        <w:rPr>
          <w:rFonts w:eastAsia="Times New Roman" w:cstheme="minorHAnsi"/>
          <w:b/>
          <w:bCs/>
          <w:color w:val="000000"/>
        </w:rPr>
        <w:t>.       Considerations for Funding Individual Training Accounts</w:t>
      </w:r>
    </w:p>
    <w:p w14:paraId="56590D8A" w14:textId="77777777" w:rsidR="005B192A" w:rsidRPr="00A56D78" w:rsidRDefault="005B192A" w:rsidP="005B192A">
      <w:pPr>
        <w:spacing w:before="100" w:beforeAutospacing="1" w:after="100" w:afterAutospacing="1" w:line="240" w:lineRule="auto"/>
        <w:ind w:left="2160" w:hanging="720"/>
        <w:rPr>
          <w:rFonts w:eastAsia="Times New Roman" w:cstheme="minorHAnsi"/>
          <w:color w:val="000000"/>
        </w:rPr>
      </w:pPr>
      <w:r w:rsidRPr="00A56D78">
        <w:rPr>
          <w:rFonts w:eastAsia="Times New Roman" w:cstheme="minorHAnsi"/>
          <w:color w:val="000000"/>
        </w:rPr>
        <w:t>1.       </w:t>
      </w:r>
      <w:r w:rsidRPr="00A56D78">
        <w:rPr>
          <w:rFonts w:eastAsia="Times New Roman" w:cstheme="minorHAnsi"/>
          <w:color w:val="000000"/>
          <w:u w:val="single"/>
        </w:rPr>
        <w:t>Duration of ITAs</w:t>
      </w:r>
    </w:p>
    <w:p w14:paraId="3169550E" w14:textId="234BA8D3" w:rsid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The duration of an ITA is determined by a participant’s course of study. Realistic and attainable training plans must be considered. Generally, training is either short-term or long-term. Short-term training is training which is completed in 12 months or less. Short-term training is the preferred method since the goal is to attain employment quickly.</w:t>
      </w:r>
    </w:p>
    <w:p w14:paraId="2898740E" w14:textId="5DBB08C5" w:rsidR="00FA672B" w:rsidRPr="00A56D78" w:rsidRDefault="00FA672B" w:rsidP="005B192A">
      <w:pPr>
        <w:spacing w:before="100" w:beforeAutospacing="1" w:after="100" w:afterAutospacing="1" w:line="240" w:lineRule="auto"/>
        <w:ind w:left="2160"/>
        <w:rPr>
          <w:rFonts w:eastAsia="Times New Roman" w:cstheme="minorHAnsi"/>
          <w:color w:val="000000"/>
        </w:rPr>
      </w:pPr>
      <w:r>
        <w:rPr>
          <w:rFonts w:eastAsia="Times New Roman" w:cstheme="minorHAnsi"/>
          <w:color w:val="000000"/>
        </w:rPr>
        <w:t>However, WDA16 must keep in mind that participant’s career pathway and the training and services necessary to meet the participant’s goals.  For instance, the classroom training portion of a RAP is typically longer than a year.  However, this training is part of a career pathway involving longer training, and the apprentice is also simultaneously employed.</w:t>
      </w:r>
    </w:p>
    <w:p w14:paraId="30F0BF79" w14:textId="5CAD3741"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Long-term training is training whose length does not exceed 24 months. Four-year degree programs may be funded when the customer can document that he or she is in the last 2 years of the program (e.g., remaining hours are equal to or less than 50 percent of the total credit hours required for the degree) and is in an in-demand </w:t>
      </w:r>
      <w:r w:rsidRPr="00A15C13">
        <w:rPr>
          <w:rFonts w:eastAsia="Times New Roman" w:cstheme="minorHAnsi"/>
          <w:color w:val="000000"/>
        </w:rPr>
        <w:t>occupation</w:t>
      </w:r>
      <w:r w:rsidR="004D17E9" w:rsidRPr="00A15C13">
        <w:rPr>
          <w:rFonts w:eastAsia="Times New Roman" w:cstheme="minorHAnsi"/>
          <w:color w:val="000000"/>
        </w:rPr>
        <w:t xml:space="preserve"> or critical job</w:t>
      </w:r>
      <w:r w:rsidRPr="00A15C13">
        <w:rPr>
          <w:rFonts w:eastAsia="Times New Roman" w:cstheme="minorHAnsi"/>
          <w:color w:val="000000"/>
        </w:rPr>
        <w:t>. </w:t>
      </w:r>
    </w:p>
    <w:p w14:paraId="550C6AD7" w14:textId="25F5A840" w:rsidR="00EF2A2F" w:rsidRPr="00A15C13" w:rsidRDefault="00C1131D"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At the discretion of the program operator, t</w:t>
      </w:r>
      <w:r w:rsidR="003B107F" w:rsidRPr="00A15C13">
        <w:rPr>
          <w:rFonts w:eastAsia="Times New Roman" w:cstheme="minorHAnsi"/>
          <w:color w:val="000000"/>
        </w:rPr>
        <w:t xml:space="preserve">he duration of </w:t>
      </w:r>
      <w:r w:rsidR="00160403" w:rsidRPr="00A15C13">
        <w:rPr>
          <w:rFonts w:eastAsia="Times New Roman" w:cstheme="minorHAnsi"/>
          <w:color w:val="000000"/>
        </w:rPr>
        <w:t>in-</w:t>
      </w:r>
      <w:r w:rsidRPr="00A15C13">
        <w:rPr>
          <w:rFonts w:eastAsia="Times New Roman" w:cstheme="minorHAnsi"/>
          <w:color w:val="000000"/>
        </w:rPr>
        <w:t xml:space="preserve">demand occupation or critical job </w:t>
      </w:r>
      <w:r w:rsidR="003B107F" w:rsidRPr="00A15C13">
        <w:rPr>
          <w:rFonts w:eastAsia="Times New Roman" w:cstheme="minorHAnsi"/>
          <w:color w:val="000000"/>
        </w:rPr>
        <w:t xml:space="preserve">training may be extended beyond the </w:t>
      </w:r>
      <w:r w:rsidR="002B0ED8" w:rsidRPr="00A15C13">
        <w:rPr>
          <w:rFonts w:eastAsia="Times New Roman" w:cstheme="minorHAnsi"/>
          <w:color w:val="000000"/>
        </w:rPr>
        <w:t>24-month</w:t>
      </w:r>
      <w:r w:rsidR="003B107F" w:rsidRPr="00A15C13">
        <w:rPr>
          <w:rFonts w:eastAsia="Times New Roman" w:cstheme="minorHAnsi"/>
          <w:color w:val="000000"/>
        </w:rPr>
        <w:t xml:space="preserve"> period</w:t>
      </w:r>
      <w:r w:rsidR="002B0ED8" w:rsidRPr="00A15C13">
        <w:rPr>
          <w:rFonts w:eastAsia="Times New Roman" w:cstheme="minorHAnsi"/>
          <w:color w:val="000000"/>
        </w:rPr>
        <w:t xml:space="preserve"> up to a maximum o</w:t>
      </w:r>
      <w:r w:rsidRPr="00A15C13">
        <w:rPr>
          <w:rFonts w:eastAsia="Times New Roman" w:cstheme="minorHAnsi"/>
          <w:color w:val="000000"/>
        </w:rPr>
        <w:t xml:space="preserve">f 48 </w:t>
      </w:r>
      <w:r w:rsidR="002B0ED8" w:rsidRPr="00A15C13">
        <w:rPr>
          <w:rFonts w:eastAsia="Times New Roman" w:cstheme="minorHAnsi"/>
          <w:color w:val="000000"/>
        </w:rPr>
        <w:t>months</w:t>
      </w:r>
      <w:r w:rsidRPr="00A15C13">
        <w:rPr>
          <w:rFonts w:eastAsia="Times New Roman" w:cstheme="minorHAnsi"/>
          <w:color w:val="000000"/>
        </w:rPr>
        <w:t>.</w:t>
      </w:r>
    </w:p>
    <w:p w14:paraId="207CCA38" w14:textId="6ACAED25" w:rsidR="00395AB1" w:rsidRPr="00395AB1" w:rsidRDefault="00395AB1" w:rsidP="00395AB1">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ITA funding may not be used for Master degrees or higher terminal degrees.</w:t>
      </w:r>
    </w:p>
    <w:p w14:paraId="1EEE4014" w14:textId="14086289" w:rsidR="003B107F" w:rsidRDefault="003B107F" w:rsidP="005B192A">
      <w:pPr>
        <w:spacing w:before="100" w:beforeAutospacing="1" w:after="100" w:afterAutospacing="1" w:line="240" w:lineRule="auto"/>
        <w:ind w:left="2160"/>
        <w:rPr>
          <w:rFonts w:eastAsia="Times New Roman" w:cstheme="minorHAnsi"/>
          <w:color w:val="000000"/>
        </w:rPr>
      </w:pPr>
      <w:r w:rsidRPr="00160403">
        <w:rPr>
          <w:rFonts w:eastAsia="Times New Roman" w:cstheme="minorHAnsi"/>
          <w:bCs/>
          <w:color w:val="000000"/>
        </w:rPr>
        <w:t>Justification for</w:t>
      </w:r>
      <w:r w:rsidRPr="00A56D78">
        <w:rPr>
          <w:rFonts w:eastAsia="Times New Roman" w:cstheme="minorHAnsi"/>
          <w:color w:val="000000"/>
        </w:rPr>
        <w:t xml:space="preserve"> extensions and waivers must be documented and maintained in the participant file.</w:t>
      </w:r>
    </w:p>
    <w:p w14:paraId="492B2F78" w14:textId="77777777" w:rsidR="00A44C3C"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For the Registered Apprenticeship program, the length of training and the skills and competencies required for mastery of an occupation are set by industry.  </w:t>
      </w:r>
    </w:p>
    <w:p w14:paraId="6DA3C657" w14:textId="77777777" w:rsidR="00A44C3C" w:rsidRDefault="00A44C3C" w:rsidP="005B192A">
      <w:pPr>
        <w:spacing w:before="100" w:beforeAutospacing="1" w:after="100" w:afterAutospacing="1" w:line="240" w:lineRule="auto"/>
        <w:ind w:left="2160"/>
        <w:rPr>
          <w:rFonts w:eastAsia="Times New Roman" w:cstheme="minorHAnsi"/>
          <w:color w:val="000000"/>
        </w:rPr>
      </w:pPr>
    </w:p>
    <w:p w14:paraId="351CFECE" w14:textId="18C8E271" w:rsidR="005B192A" w:rsidRPr="00A56D78"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Traditional registered apprenticeship programs are time-based and require a specific number of hours of OJT and related instruction.  </w:t>
      </w:r>
      <w:r w:rsidR="005B192A" w:rsidRPr="00A56D78">
        <w:rPr>
          <w:rFonts w:eastAsia="Times New Roman" w:cstheme="minorHAnsi"/>
          <w:color w:val="000000"/>
        </w:rPr>
        <w:t xml:space="preserve">Because of all the benefits of a registered apprenticeship program, including an established career pathway and simultaneous employment, the classroom training portion of the Registered Apprenticeship programs may be up to 4 </w:t>
      </w:r>
      <w:r w:rsidR="005B192A" w:rsidRPr="00A15C13">
        <w:rPr>
          <w:rFonts w:eastAsia="Times New Roman" w:cstheme="minorHAnsi"/>
          <w:color w:val="000000"/>
        </w:rPr>
        <w:t>years</w:t>
      </w:r>
      <w:r w:rsidR="002B0ED8" w:rsidRPr="00A15C13">
        <w:rPr>
          <w:rFonts w:eastAsia="Times New Roman" w:cstheme="minorHAnsi"/>
          <w:color w:val="000000"/>
        </w:rPr>
        <w:t xml:space="preserve"> (48 months)</w:t>
      </w:r>
      <w:r w:rsidR="005B192A" w:rsidRPr="00A56D78">
        <w:rPr>
          <w:rFonts w:eastAsia="Times New Roman" w:cstheme="minorHAnsi"/>
          <w:color w:val="000000"/>
        </w:rPr>
        <w:t xml:space="preserve"> in length. For this program, the local areas may fund the full length of the training</w:t>
      </w:r>
      <w:r w:rsidR="005B192A" w:rsidRPr="00FB1D7B">
        <w:rPr>
          <w:rFonts w:eastAsia="Times New Roman" w:cstheme="minorHAnsi"/>
          <w:color w:val="000000"/>
        </w:rPr>
        <w:t>. </w:t>
      </w:r>
      <w:r w:rsidR="00FA672B" w:rsidRPr="00FB1D7B">
        <w:rPr>
          <w:rFonts w:eastAsia="Times New Roman" w:cstheme="minorHAnsi"/>
          <w:color w:val="000000"/>
        </w:rPr>
        <w:t xml:space="preserve"> This is to enable and encourage the completion of baccalaureate degrees in vital career fields, s</w:t>
      </w:r>
      <w:r w:rsidR="00881EBF">
        <w:rPr>
          <w:rFonts w:eastAsia="Times New Roman" w:cstheme="minorHAnsi"/>
          <w:color w:val="000000"/>
        </w:rPr>
        <w:t>uch</w:t>
      </w:r>
      <w:r w:rsidR="00FA672B" w:rsidRPr="00FB1D7B">
        <w:rPr>
          <w:rFonts w:eastAsia="Times New Roman" w:cstheme="minorHAnsi"/>
          <w:color w:val="000000"/>
        </w:rPr>
        <w:t xml:space="preserve"> as critical jobs which support the health and well-being of Ohioans.</w:t>
      </w:r>
    </w:p>
    <w:p w14:paraId="3467FFE0"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There may be instances where a participant is unable to complete the training program within the time frame outlined in the ITA, and the ITA may be extended. While determinations have to be based on the factual circumstances of each case, some instances when more time may be warranted include, but are not limited to, those directly related to:</w:t>
      </w:r>
    </w:p>
    <w:p w14:paraId="14D00274"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participant's military service or military-related leave time;</w:t>
      </w:r>
    </w:p>
    <w:p w14:paraId="0AFAD9F6"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Lack of availability of classes;</w:t>
      </w:r>
    </w:p>
    <w:p w14:paraId="54886039"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Cancellations of classes; or</w:t>
      </w:r>
    </w:p>
    <w:p w14:paraId="0EE04AD8"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d.       Unforeseen illness (of the participant or an immediate family member of the participant).</w:t>
      </w:r>
    </w:p>
    <w:p w14:paraId="4DA3F5AB"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For the purposes of this policy, immediate family members include the participant’s parents (including step-parents), spouse, domestic partner, and children (including step-children or children who the participant has been awarded custody of through a court).</w:t>
      </w:r>
    </w:p>
    <w:p w14:paraId="2614799D"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Funding ITAs</w:t>
      </w:r>
    </w:p>
    <w:p w14:paraId="7A8A435D"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cost for ITAs are determined by the average cost of training for specific in-demand occupations within the local area as well as the following criteria:</w:t>
      </w:r>
    </w:p>
    <w:p w14:paraId="254743FE"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Whether the training investment is in line with the future expected earnings of the participant;</w:t>
      </w:r>
    </w:p>
    <w:p w14:paraId="3A082ED5" w14:textId="224E941A"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Whether the training is being provided as part of the registered apprenticeship program</w:t>
      </w:r>
      <w:r w:rsidR="00FA672B">
        <w:rPr>
          <w:rFonts w:eastAsia="Times New Roman" w:cstheme="minorHAnsi"/>
          <w:color w:val="000000"/>
        </w:rPr>
        <w:t xml:space="preserve"> (RAP) </w:t>
      </w:r>
      <w:r w:rsidRPr="005B192A">
        <w:rPr>
          <w:rFonts w:eastAsia="Times New Roman" w:cstheme="minorHAnsi"/>
          <w:color w:val="000000"/>
        </w:rPr>
        <w:t>; and</w:t>
      </w:r>
    </w:p>
    <w:p w14:paraId="66F966C3"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Consideration of the full cost of participating in training services, including costs for fees and books, tuition and other associated costs.</w:t>
      </w:r>
    </w:p>
    <w:p w14:paraId="08E82853"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An adult, dislocated worker, or out-of-school youth participant may select training that costs more than the maximum amount available for ITAs when other sources of funds are available to supplement the ITA.</w:t>
      </w:r>
    </w:p>
    <w:p w14:paraId="4D5FB7B1"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3.       </w:t>
      </w:r>
      <w:r w:rsidRPr="005B192A">
        <w:rPr>
          <w:rFonts w:eastAsia="Times New Roman" w:cstheme="minorHAnsi"/>
          <w:color w:val="000000"/>
          <w:u w:val="single"/>
        </w:rPr>
        <w:t>Allowable Individual Training Account Costs</w:t>
      </w:r>
    </w:p>
    <w:p w14:paraId="6C16DC5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expenditures are costs required by the training institution to complete the training.  ITA costs required to complete the training may include, but are not limited to:</w:t>
      </w:r>
    </w:p>
    <w:p w14:paraId="440FC3AE"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a.       Tuition and fees;</w:t>
      </w:r>
    </w:p>
    <w:p w14:paraId="2BD2CE8B" w14:textId="3EFCE7C6" w:rsid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b.       Books;</w:t>
      </w:r>
    </w:p>
    <w:p w14:paraId="07546DA0" w14:textId="77777777" w:rsidR="00A44C3C" w:rsidRDefault="00A44C3C" w:rsidP="005F5FE1">
      <w:pPr>
        <w:spacing w:after="0" w:line="240" w:lineRule="auto"/>
        <w:ind w:left="2880" w:hanging="720"/>
        <w:rPr>
          <w:rFonts w:eastAsia="Times New Roman" w:cstheme="minorHAnsi"/>
          <w:color w:val="000000"/>
        </w:rPr>
      </w:pPr>
    </w:p>
    <w:p w14:paraId="3EC56F03" w14:textId="2F3D7961" w:rsidR="002B0ED8" w:rsidRPr="005B192A" w:rsidRDefault="002B0ED8" w:rsidP="00EF2A2F">
      <w:pPr>
        <w:spacing w:after="0" w:line="240" w:lineRule="auto"/>
        <w:ind w:left="2880" w:hanging="720"/>
        <w:rPr>
          <w:rFonts w:eastAsia="Times New Roman" w:cstheme="minorHAnsi"/>
          <w:color w:val="000000"/>
        </w:rPr>
      </w:pPr>
      <w:r w:rsidRPr="00A15C13">
        <w:rPr>
          <w:rFonts w:eastAsia="Times New Roman" w:cstheme="minorHAnsi"/>
          <w:color w:val="000000"/>
        </w:rPr>
        <w:t>c.       Com</w:t>
      </w:r>
      <w:r w:rsidR="00160403" w:rsidRPr="00A15C13">
        <w:rPr>
          <w:rFonts w:eastAsia="Times New Roman" w:cstheme="minorHAnsi"/>
          <w:color w:val="000000"/>
        </w:rPr>
        <w:t>p</w:t>
      </w:r>
      <w:r w:rsidRPr="00A15C13">
        <w:rPr>
          <w:rFonts w:eastAsia="Times New Roman" w:cstheme="minorHAnsi"/>
          <w:color w:val="000000"/>
        </w:rPr>
        <w:t>uters and related</w:t>
      </w:r>
      <w:r w:rsidR="00EF2A2F" w:rsidRPr="00A15C13">
        <w:rPr>
          <w:rFonts w:eastAsia="Times New Roman" w:cstheme="minorHAnsi"/>
          <w:color w:val="000000"/>
        </w:rPr>
        <w:t xml:space="preserve"> software</w:t>
      </w:r>
    </w:p>
    <w:p w14:paraId="514A664A" w14:textId="410B8DC2"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d</w:t>
      </w:r>
      <w:r w:rsidR="005B192A" w:rsidRPr="005B192A">
        <w:rPr>
          <w:rFonts w:eastAsia="Times New Roman" w:cstheme="minorHAnsi"/>
          <w:color w:val="000000"/>
        </w:rPr>
        <w:t>.       Tools;</w:t>
      </w:r>
    </w:p>
    <w:p w14:paraId="2E42FCC6" w14:textId="7E80A65A"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e</w:t>
      </w:r>
      <w:r w:rsidR="005B192A" w:rsidRPr="005B192A">
        <w:rPr>
          <w:rFonts w:eastAsia="Times New Roman" w:cstheme="minorHAnsi"/>
          <w:color w:val="000000"/>
        </w:rPr>
        <w:t>.       Uniforms;</w:t>
      </w:r>
    </w:p>
    <w:p w14:paraId="5AE8143D" w14:textId="0AF19DDB"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f</w:t>
      </w:r>
      <w:r w:rsidR="005B192A" w:rsidRPr="005B192A">
        <w:rPr>
          <w:rFonts w:eastAsia="Times New Roman" w:cstheme="minorHAnsi"/>
          <w:color w:val="000000"/>
        </w:rPr>
        <w:t>.       Tests; and</w:t>
      </w:r>
    </w:p>
    <w:p w14:paraId="145D5FF9" w14:textId="0DF89EB8"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g.</w:t>
      </w:r>
      <w:r w:rsidR="005B192A" w:rsidRPr="005B192A">
        <w:rPr>
          <w:rFonts w:eastAsia="Times New Roman" w:cstheme="minorHAnsi"/>
          <w:color w:val="000000"/>
        </w:rPr>
        <w:t>      Medical immunizations/tests.</w:t>
      </w:r>
    </w:p>
    <w:p w14:paraId="5D3797F1" w14:textId="48D4F83B" w:rsid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costs do not include any supportive services' costs related to the ITA (e.g. transportation or child care).</w:t>
      </w:r>
    </w:p>
    <w:p w14:paraId="24CCD6B5" w14:textId="77777777" w:rsidR="0064695D" w:rsidRPr="00A56D78" w:rsidRDefault="0064695D" w:rsidP="0064695D">
      <w:pPr>
        <w:spacing w:before="100" w:beforeAutospacing="1" w:after="100" w:afterAutospacing="1" w:line="240" w:lineRule="auto"/>
        <w:rPr>
          <w:rFonts w:eastAsia="Times New Roman" w:cstheme="minorHAnsi"/>
          <w:color w:val="000000"/>
          <w:u w:val="single"/>
        </w:rPr>
      </w:pPr>
      <w:r w:rsidRPr="00BB0D35">
        <w:rPr>
          <w:rFonts w:eastAsia="Times New Roman" w:cstheme="minorHAnsi"/>
          <w:color w:val="000000"/>
        </w:rPr>
        <w:t xml:space="preserve">                  </w:t>
      </w:r>
      <w:r w:rsidR="00BB0D35">
        <w:rPr>
          <w:rFonts w:eastAsia="Times New Roman" w:cstheme="minorHAnsi"/>
          <w:color w:val="000000"/>
        </w:rPr>
        <w:t xml:space="preserve">        </w:t>
      </w:r>
      <w:r w:rsidRPr="00BB0D35">
        <w:rPr>
          <w:rFonts w:eastAsia="Times New Roman" w:cstheme="minorHAnsi"/>
          <w:color w:val="000000"/>
        </w:rPr>
        <w:t xml:space="preserve">   </w:t>
      </w:r>
      <w:r w:rsidRPr="00A56D78">
        <w:rPr>
          <w:rFonts w:eastAsia="Times New Roman" w:cstheme="minorHAnsi"/>
          <w:color w:val="000000"/>
        </w:rPr>
        <w:t xml:space="preserve">4.     </w:t>
      </w:r>
      <w:r w:rsidRPr="00A56D78">
        <w:rPr>
          <w:rFonts w:eastAsia="Times New Roman" w:cstheme="minorHAnsi"/>
          <w:color w:val="000000"/>
          <w:u w:val="single"/>
        </w:rPr>
        <w:t xml:space="preserve"> </w:t>
      </w:r>
      <w:bookmarkStart w:id="0" w:name="_Hlk85368750"/>
      <w:r w:rsidRPr="00A56D78">
        <w:rPr>
          <w:rFonts w:eastAsia="Times New Roman" w:cstheme="minorHAnsi"/>
          <w:color w:val="000000"/>
          <w:u w:val="single"/>
        </w:rPr>
        <w:t>Limits on WDA16 ITA Funding</w:t>
      </w:r>
    </w:p>
    <w:p w14:paraId="6155B44B" w14:textId="77777777" w:rsidR="00BB0D35" w:rsidRPr="00A56D78" w:rsidRDefault="0064695D" w:rsidP="0064695D">
      <w:pPr>
        <w:spacing w:before="100" w:beforeAutospacing="1" w:after="100" w:afterAutospacing="1" w:line="240" w:lineRule="auto"/>
        <w:rPr>
          <w:rFonts w:eastAsia="Times New Roman" w:cstheme="minorHAnsi"/>
          <w:color w:val="000000"/>
        </w:rPr>
      </w:pPr>
      <w:bookmarkStart w:id="1" w:name="_Hlk129364834"/>
      <w:bookmarkEnd w:id="0"/>
      <w:r w:rsidRPr="00A56D78">
        <w:rPr>
          <w:rFonts w:eastAsia="Times New Roman" w:cstheme="minorHAnsi"/>
          <w:color w:val="000000"/>
        </w:rPr>
        <w:t xml:space="preserve">                            </w:t>
      </w:r>
      <w:r w:rsidR="00BB0D35" w:rsidRPr="00A56D78">
        <w:rPr>
          <w:rFonts w:eastAsia="Times New Roman" w:cstheme="minorHAnsi"/>
          <w:color w:val="000000"/>
        </w:rPr>
        <w:t xml:space="preserve">         </w:t>
      </w:r>
      <w:r w:rsidRPr="00A56D78">
        <w:rPr>
          <w:rFonts w:eastAsia="Times New Roman" w:cstheme="minorHAnsi"/>
          <w:color w:val="000000"/>
        </w:rPr>
        <w:t xml:space="preserve"> WDB16 has determined the fol</w:t>
      </w:r>
      <w:r w:rsidR="00BB0D35" w:rsidRPr="00A56D78">
        <w:rPr>
          <w:rFonts w:eastAsia="Times New Roman" w:cstheme="minorHAnsi"/>
          <w:color w:val="000000"/>
        </w:rPr>
        <w:t>lowing</w:t>
      </w:r>
      <w:r w:rsidR="003B107F" w:rsidRPr="00A56D78">
        <w:rPr>
          <w:rFonts w:eastAsia="Times New Roman" w:cstheme="minorHAnsi"/>
          <w:color w:val="000000"/>
        </w:rPr>
        <w:t xml:space="preserve"> annual</w:t>
      </w:r>
      <w:r w:rsidR="00BB0D35" w:rsidRPr="00A56D78">
        <w:rPr>
          <w:rFonts w:eastAsia="Times New Roman" w:cstheme="minorHAnsi"/>
          <w:color w:val="000000"/>
        </w:rPr>
        <w:t xml:space="preserve"> limits on ITA funding:</w:t>
      </w:r>
    </w:p>
    <w:p w14:paraId="2FF29995" w14:textId="6D05B153" w:rsidR="00BB0D35" w:rsidRPr="00A56D78" w:rsidRDefault="005F5FE1" w:rsidP="005F5FE1">
      <w:pPr>
        <w:pStyle w:val="ListParagraph"/>
        <w:numPr>
          <w:ilvl w:val="0"/>
          <w:numId w:val="15"/>
        </w:numPr>
        <w:spacing w:before="100" w:beforeAutospacing="1" w:after="100" w:afterAutospacing="1" w:line="240" w:lineRule="auto"/>
        <w:rPr>
          <w:rFonts w:eastAsia="Times New Roman" w:cstheme="minorHAnsi"/>
          <w:color w:val="000000"/>
        </w:rPr>
      </w:pPr>
      <w:r w:rsidRPr="00A56D78">
        <w:rPr>
          <w:rFonts w:cstheme="minorHAnsi"/>
        </w:rPr>
        <w:t xml:space="preserve">General ITA funding limit </w:t>
      </w:r>
      <w:r w:rsidRPr="00B933F4">
        <w:rPr>
          <w:rFonts w:cstheme="minorHAnsi"/>
        </w:rPr>
        <w:t>$</w:t>
      </w:r>
      <w:r w:rsidR="00C62E9D" w:rsidRPr="00B933F4">
        <w:rPr>
          <w:rFonts w:cstheme="minorHAnsi"/>
        </w:rPr>
        <w:t>7,000</w:t>
      </w:r>
      <w:r w:rsidR="00BB0D35" w:rsidRPr="00A56D78">
        <w:rPr>
          <w:rFonts w:cstheme="minorHAnsi"/>
        </w:rPr>
        <w:tab/>
      </w:r>
    </w:p>
    <w:p w14:paraId="08FAB808" w14:textId="77777777" w:rsidR="00BB0D35" w:rsidRPr="00A56D78" w:rsidRDefault="00BB0D35" w:rsidP="00BB0D35">
      <w:pPr>
        <w:pStyle w:val="ListParagraph"/>
        <w:numPr>
          <w:ilvl w:val="0"/>
          <w:numId w:val="15"/>
        </w:numPr>
        <w:spacing w:after="0" w:line="240" w:lineRule="auto"/>
        <w:rPr>
          <w:rFonts w:cstheme="minorHAnsi"/>
        </w:rPr>
      </w:pPr>
      <w:r w:rsidRPr="00A56D78">
        <w:rPr>
          <w:rFonts w:cstheme="minorHAnsi"/>
        </w:rPr>
        <w:t>Specialized Training approval funding limits:</w:t>
      </w:r>
    </w:p>
    <w:p w14:paraId="1572C8A6" w14:textId="0920A7D6" w:rsidR="00BB0D35" w:rsidRPr="00BC27C2" w:rsidRDefault="00BB0D35" w:rsidP="00BB0D35">
      <w:pPr>
        <w:pStyle w:val="ListParagraph"/>
        <w:numPr>
          <w:ilvl w:val="3"/>
          <w:numId w:val="14"/>
        </w:numPr>
        <w:spacing w:after="0" w:line="240" w:lineRule="auto"/>
        <w:rPr>
          <w:rFonts w:cstheme="minorHAnsi"/>
        </w:rPr>
      </w:pPr>
      <w:r w:rsidRPr="00BC27C2">
        <w:rPr>
          <w:rFonts w:cstheme="minorHAnsi"/>
        </w:rPr>
        <w:t>Dual Credentialing $</w:t>
      </w:r>
      <w:r w:rsidR="00A44C3C" w:rsidRPr="00BC27C2">
        <w:rPr>
          <w:rFonts w:cstheme="minorHAnsi"/>
        </w:rPr>
        <w:t>14,000 for Heavy Equipment/CDL combination</w:t>
      </w:r>
      <w:r w:rsidR="00180E66" w:rsidRPr="00BC27C2">
        <w:rPr>
          <w:rFonts w:cstheme="minorHAnsi"/>
        </w:rPr>
        <w:t xml:space="preserve">, </w:t>
      </w:r>
      <w:r w:rsidR="00A44C3C" w:rsidRPr="00BC27C2">
        <w:rPr>
          <w:rFonts w:cstheme="minorHAnsi"/>
        </w:rPr>
        <w:t>or any other dual credential which is in-</w:t>
      </w:r>
      <w:r w:rsidR="00BC27C2" w:rsidRPr="00BC27C2">
        <w:rPr>
          <w:rFonts w:cstheme="minorHAnsi"/>
        </w:rPr>
        <w:t>demand.</w:t>
      </w:r>
      <w:r w:rsidR="00180E66" w:rsidRPr="00BC27C2">
        <w:rPr>
          <w:rFonts w:cstheme="minorHAnsi"/>
        </w:rPr>
        <w:t xml:space="preserve"> </w:t>
      </w:r>
    </w:p>
    <w:p w14:paraId="7D0E9971" w14:textId="3AB54643" w:rsidR="00D46861" w:rsidRPr="00BC27C2" w:rsidRDefault="00D46861" w:rsidP="00BB0D35">
      <w:pPr>
        <w:pStyle w:val="ListParagraph"/>
        <w:numPr>
          <w:ilvl w:val="3"/>
          <w:numId w:val="14"/>
        </w:numPr>
        <w:spacing w:after="0" w:line="240" w:lineRule="auto"/>
        <w:rPr>
          <w:rFonts w:cstheme="minorHAnsi"/>
        </w:rPr>
      </w:pPr>
      <w:r w:rsidRPr="00BC27C2">
        <w:rPr>
          <w:rFonts w:cstheme="minorHAnsi"/>
        </w:rPr>
        <w:t xml:space="preserve"> Heavy Equipment is in-demand but is offered in a variety of formats and combinations.  This policy authorizes the OMJ Operators to use their discretion to award up to $14,000 for a Heavy Equipment ITA</w:t>
      </w:r>
    </w:p>
    <w:p w14:paraId="6F88558E" w14:textId="7B6E2DF3"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Welding Basics and </w:t>
      </w:r>
      <w:r w:rsidR="002B0ED8" w:rsidRPr="00A56D78">
        <w:rPr>
          <w:rFonts w:cstheme="minorHAnsi"/>
        </w:rPr>
        <w:t xml:space="preserve">Advanced </w:t>
      </w:r>
      <w:r w:rsidR="002B0ED8" w:rsidRPr="00B933F4">
        <w:rPr>
          <w:rFonts w:cstheme="minorHAnsi"/>
        </w:rPr>
        <w:t>$</w:t>
      </w:r>
      <w:r w:rsidRPr="00B933F4">
        <w:rPr>
          <w:rFonts w:cstheme="minorHAnsi"/>
        </w:rPr>
        <w:t>1</w:t>
      </w:r>
      <w:r w:rsidR="00C62E9D" w:rsidRPr="00B933F4">
        <w:rPr>
          <w:rFonts w:cstheme="minorHAnsi"/>
        </w:rPr>
        <w:t>3</w:t>
      </w:r>
      <w:r w:rsidRPr="00B933F4">
        <w:rPr>
          <w:rFonts w:cstheme="minorHAnsi"/>
        </w:rPr>
        <w:t>,500</w:t>
      </w:r>
      <w:r w:rsidR="00A44C3C">
        <w:rPr>
          <w:rFonts w:cstheme="minorHAnsi"/>
        </w:rPr>
        <w:t xml:space="preserve"> </w:t>
      </w:r>
    </w:p>
    <w:p w14:paraId="5C470CD7" w14:textId="4C09F0A0" w:rsidR="00BB0D35" w:rsidRDefault="00BB0D35" w:rsidP="00BB0D35">
      <w:pPr>
        <w:pStyle w:val="ListParagraph"/>
        <w:numPr>
          <w:ilvl w:val="3"/>
          <w:numId w:val="14"/>
        </w:numPr>
        <w:spacing w:after="0" w:line="240" w:lineRule="auto"/>
        <w:rPr>
          <w:rFonts w:cstheme="minorHAnsi"/>
        </w:rPr>
      </w:pPr>
      <w:r w:rsidRPr="00A56D78">
        <w:rPr>
          <w:rFonts w:cstheme="minorHAnsi"/>
        </w:rPr>
        <w:t>Advanced Welding $8,000 (stand-alone program)</w:t>
      </w:r>
    </w:p>
    <w:p w14:paraId="3461004B" w14:textId="10AC4967" w:rsidR="00A44C3C" w:rsidRPr="00BC27C2" w:rsidRDefault="00A44C3C" w:rsidP="00BB0D35">
      <w:pPr>
        <w:pStyle w:val="ListParagraph"/>
        <w:numPr>
          <w:ilvl w:val="3"/>
          <w:numId w:val="14"/>
        </w:numPr>
        <w:spacing w:after="0" w:line="240" w:lineRule="auto"/>
        <w:rPr>
          <w:rFonts w:cstheme="minorHAnsi"/>
        </w:rPr>
      </w:pPr>
      <w:r w:rsidRPr="00BC27C2">
        <w:rPr>
          <w:rFonts w:cstheme="minorHAnsi"/>
        </w:rPr>
        <w:t>Class A/Heavy Equipment/ Rigging/OSHA (400 hours) $15,995</w:t>
      </w:r>
    </w:p>
    <w:p w14:paraId="59E0B96C" w14:textId="77777777" w:rsidR="00EF2A2F" w:rsidRPr="00A44C3C" w:rsidRDefault="00EF2A2F" w:rsidP="00A44C3C">
      <w:pPr>
        <w:spacing w:after="0" w:line="240" w:lineRule="auto"/>
        <w:jc w:val="both"/>
        <w:rPr>
          <w:rFonts w:cstheme="minorHAnsi"/>
          <w:highlight w:val="yellow"/>
        </w:rPr>
      </w:pPr>
    </w:p>
    <w:p w14:paraId="06F42C01" w14:textId="77777777" w:rsidR="003B107F" w:rsidRPr="00A56D78" w:rsidRDefault="003B107F" w:rsidP="003B107F">
      <w:pPr>
        <w:spacing w:after="0" w:line="240" w:lineRule="auto"/>
        <w:rPr>
          <w:rFonts w:cstheme="minorHAnsi"/>
        </w:rPr>
      </w:pPr>
    </w:p>
    <w:p w14:paraId="6048CFB1" w14:textId="0481C782" w:rsidR="003B107F" w:rsidRDefault="00CE2B39" w:rsidP="003B107F">
      <w:pPr>
        <w:spacing w:after="0" w:line="240" w:lineRule="auto"/>
        <w:ind w:left="1200"/>
        <w:rPr>
          <w:rFonts w:cstheme="minorHAnsi"/>
        </w:rPr>
      </w:pPr>
      <w:r w:rsidRPr="00B933F4">
        <w:rPr>
          <w:rFonts w:cstheme="minorHAnsi"/>
        </w:rPr>
        <w:t>This</w:t>
      </w:r>
      <w:r w:rsidR="00395AB1" w:rsidRPr="00B933F4">
        <w:rPr>
          <w:rFonts w:cstheme="minorHAnsi"/>
        </w:rPr>
        <w:t xml:space="preserve"> $</w:t>
      </w:r>
      <w:r w:rsidR="00C62E9D" w:rsidRPr="00B933F4">
        <w:rPr>
          <w:rFonts w:cstheme="minorHAnsi"/>
        </w:rPr>
        <w:t>7</w:t>
      </w:r>
      <w:r w:rsidR="00395AB1" w:rsidRPr="00B933F4">
        <w:rPr>
          <w:rFonts w:cstheme="minorHAnsi"/>
        </w:rPr>
        <w:t>,000</w:t>
      </w:r>
      <w:r w:rsidRPr="00B933F4">
        <w:rPr>
          <w:rFonts w:cstheme="minorHAnsi"/>
        </w:rPr>
        <w:t xml:space="preserve"> </w:t>
      </w:r>
      <w:r w:rsidR="00395AB1" w:rsidRPr="00B933F4">
        <w:rPr>
          <w:rFonts w:cstheme="minorHAnsi"/>
        </w:rPr>
        <w:t>ITA limit may be raised to $</w:t>
      </w:r>
      <w:r w:rsidR="00C62E9D" w:rsidRPr="00B933F4">
        <w:rPr>
          <w:rFonts w:cstheme="minorHAnsi"/>
        </w:rPr>
        <w:t>8</w:t>
      </w:r>
      <w:r w:rsidR="00395AB1" w:rsidRPr="00B933F4">
        <w:rPr>
          <w:rFonts w:cstheme="minorHAnsi"/>
        </w:rPr>
        <w:t>,000</w:t>
      </w:r>
      <w:r w:rsidRPr="00A15C13">
        <w:rPr>
          <w:rFonts w:cstheme="minorHAnsi"/>
        </w:rPr>
        <w:t xml:space="preserve"> </w:t>
      </w:r>
      <w:r w:rsidR="00395AB1" w:rsidRPr="00A15C13">
        <w:rPr>
          <w:rFonts w:cstheme="minorHAnsi"/>
        </w:rPr>
        <w:t xml:space="preserve">if the training provider requires participants to have a </w:t>
      </w:r>
      <w:r w:rsidRPr="00A15C13">
        <w:rPr>
          <w:rFonts w:cstheme="minorHAnsi"/>
        </w:rPr>
        <w:t>computer</w:t>
      </w:r>
      <w:r w:rsidR="002644F4" w:rsidRPr="00A15C13">
        <w:rPr>
          <w:rFonts w:cstheme="minorHAnsi"/>
        </w:rPr>
        <w:t xml:space="preserve"> and/or </w:t>
      </w:r>
      <w:r w:rsidR="00395AB1" w:rsidRPr="00A15C13">
        <w:rPr>
          <w:rFonts w:cstheme="minorHAnsi"/>
        </w:rPr>
        <w:t>software.</w:t>
      </w:r>
    </w:p>
    <w:bookmarkEnd w:id="1"/>
    <w:p w14:paraId="60B6B6CF" w14:textId="77777777" w:rsidR="00CE2B39" w:rsidRPr="00A56D78" w:rsidRDefault="00CE2B39" w:rsidP="003B107F">
      <w:pPr>
        <w:spacing w:after="0" w:line="240" w:lineRule="auto"/>
        <w:ind w:left="1200"/>
        <w:rPr>
          <w:rFonts w:cstheme="minorHAnsi"/>
        </w:rPr>
      </w:pPr>
    </w:p>
    <w:p w14:paraId="6454B561" w14:textId="02D29B26" w:rsidR="003B107F" w:rsidRPr="00A56D78" w:rsidRDefault="003B107F" w:rsidP="003B107F">
      <w:pPr>
        <w:spacing w:after="0" w:line="240" w:lineRule="auto"/>
        <w:ind w:left="1200"/>
        <w:rPr>
          <w:rFonts w:cstheme="minorHAnsi"/>
        </w:rPr>
      </w:pPr>
      <w:r w:rsidRPr="00395AB1">
        <w:rPr>
          <w:rFonts w:cstheme="minorHAnsi"/>
          <w:bCs/>
        </w:rPr>
        <w:t>Justification for</w:t>
      </w:r>
      <w:r w:rsidRPr="00A56D78">
        <w:rPr>
          <w:rFonts w:cstheme="minorHAnsi"/>
        </w:rPr>
        <w:t xml:space="preserve"> </w:t>
      </w:r>
      <w:r w:rsidR="00881EBF">
        <w:rPr>
          <w:rFonts w:cstheme="minorHAnsi"/>
        </w:rPr>
        <w:t xml:space="preserve">operator discretion for exceeding the above amounts, or </w:t>
      </w:r>
      <w:r w:rsidRPr="00A56D78">
        <w:rPr>
          <w:rFonts w:cstheme="minorHAnsi"/>
        </w:rPr>
        <w:t xml:space="preserve">extensions and waivers must be documented and maintained in the participant file.  </w:t>
      </w:r>
    </w:p>
    <w:p w14:paraId="20BF42A6" w14:textId="1D36492A" w:rsidR="003B107F" w:rsidRDefault="003B107F" w:rsidP="003B107F">
      <w:pPr>
        <w:spacing w:after="0" w:line="240" w:lineRule="auto"/>
        <w:ind w:left="1200"/>
        <w:rPr>
          <w:rFonts w:cstheme="minorHAnsi"/>
        </w:rPr>
      </w:pPr>
    </w:p>
    <w:p w14:paraId="46A19D6F" w14:textId="493EDF15" w:rsidR="00EF2A2F" w:rsidRDefault="00EF2A2F" w:rsidP="003B107F">
      <w:pPr>
        <w:spacing w:after="0" w:line="240" w:lineRule="auto"/>
        <w:ind w:left="1200"/>
        <w:rPr>
          <w:rFonts w:cstheme="minorHAnsi"/>
        </w:rPr>
      </w:pPr>
      <w:r w:rsidRPr="00A15C13">
        <w:rPr>
          <w:rFonts w:cstheme="minorHAnsi"/>
        </w:rPr>
        <w:t xml:space="preserve">Annual funding limits is defined as any 12-month period of enrollment for a </w:t>
      </w:r>
      <w:r w:rsidR="002644F4" w:rsidRPr="00A15C13">
        <w:rPr>
          <w:rFonts w:cstheme="minorHAnsi"/>
        </w:rPr>
        <w:t>participant</w:t>
      </w:r>
      <w:r w:rsidRPr="00A15C13">
        <w:rPr>
          <w:rFonts w:cstheme="minorHAnsi"/>
        </w:rPr>
        <w:t xml:space="preserve">, beginning at the date they </w:t>
      </w:r>
      <w:r w:rsidR="00C1131D" w:rsidRPr="00A15C13">
        <w:rPr>
          <w:rFonts w:cstheme="minorHAnsi"/>
        </w:rPr>
        <w:t>begin training</w:t>
      </w:r>
      <w:r w:rsidRPr="00A15C13">
        <w:rPr>
          <w:rFonts w:cstheme="minorHAnsi"/>
        </w:rPr>
        <w:t>.</w:t>
      </w:r>
    </w:p>
    <w:p w14:paraId="2DD6BA18" w14:textId="77777777" w:rsidR="00EF2A2F" w:rsidRPr="00A56D78" w:rsidRDefault="00EF2A2F" w:rsidP="003B107F">
      <w:pPr>
        <w:spacing w:after="0" w:line="240" w:lineRule="auto"/>
        <w:ind w:left="1200"/>
        <w:rPr>
          <w:rFonts w:cstheme="minorHAnsi"/>
        </w:rPr>
      </w:pPr>
    </w:p>
    <w:p w14:paraId="646CB02C" w14:textId="77777777" w:rsidR="003B107F" w:rsidRPr="00A56D78" w:rsidRDefault="003B107F" w:rsidP="003B107F">
      <w:pPr>
        <w:spacing w:after="0" w:line="240" w:lineRule="auto"/>
        <w:ind w:left="1200"/>
        <w:rPr>
          <w:rFonts w:cstheme="minorHAnsi"/>
        </w:rPr>
      </w:pPr>
      <w:r w:rsidRPr="00A56D78">
        <w:rPr>
          <w:rFonts w:cstheme="minorHAnsi"/>
        </w:rPr>
        <w:t xml:space="preserve">For programs that have a waiting list, WIOA and CCMEP applicants will </w:t>
      </w:r>
      <w:r w:rsidR="000C7C3C" w:rsidRPr="00A56D78">
        <w:rPr>
          <w:rFonts w:cstheme="minorHAnsi"/>
        </w:rPr>
        <w:t>be reviewed to determine when t</w:t>
      </w:r>
      <w:r w:rsidRPr="00A56D78">
        <w:rPr>
          <w:rFonts w:cstheme="minorHAnsi"/>
        </w:rPr>
        <w:t>o enroll individuals.  This would require obtaining information from the training provider to determine when the best time would be to begin the training program.</w:t>
      </w:r>
    </w:p>
    <w:p w14:paraId="38AF67F8" w14:textId="77777777" w:rsidR="003B107F" w:rsidRPr="00A56D78" w:rsidRDefault="003B107F" w:rsidP="003B107F">
      <w:pPr>
        <w:spacing w:after="0" w:line="240" w:lineRule="auto"/>
        <w:ind w:left="1200"/>
        <w:rPr>
          <w:rFonts w:cstheme="minorHAnsi"/>
        </w:rPr>
      </w:pPr>
    </w:p>
    <w:p w14:paraId="3C3462B8" w14:textId="77777777" w:rsidR="003B107F" w:rsidRPr="00A56D78" w:rsidRDefault="003B107F" w:rsidP="003B107F">
      <w:pPr>
        <w:spacing w:after="0" w:line="240" w:lineRule="auto"/>
        <w:ind w:left="1200"/>
        <w:rPr>
          <w:rFonts w:cstheme="minorHAnsi"/>
        </w:rPr>
      </w:pPr>
      <w:r w:rsidRPr="00A56D78">
        <w:rPr>
          <w:rFonts w:cstheme="minorHAnsi"/>
        </w:rPr>
        <w:t>Program Operators have the discretion to determine when WIOA or CCMEP assistance can be provided to a participant for prerequisite classes prior to the participant beginning the actual training program.</w:t>
      </w:r>
    </w:p>
    <w:p w14:paraId="40BC0D94" w14:textId="77777777" w:rsidR="003B107F" w:rsidRPr="00A56D78" w:rsidRDefault="003B107F" w:rsidP="003B107F">
      <w:pPr>
        <w:spacing w:after="0" w:line="240" w:lineRule="auto"/>
        <w:ind w:left="1200"/>
        <w:rPr>
          <w:rFonts w:cstheme="minorHAnsi"/>
        </w:rPr>
      </w:pPr>
    </w:p>
    <w:p w14:paraId="0961AD5A" w14:textId="1B07CA15" w:rsidR="000C7C3C" w:rsidRPr="00A56D78" w:rsidRDefault="000C7C3C" w:rsidP="000C7C3C">
      <w:pPr>
        <w:spacing w:after="0" w:line="240" w:lineRule="auto"/>
        <w:ind w:left="1200"/>
        <w:rPr>
          <w:rFonts w:cstheme="minorHAnsi"/>
        </w:rPr>
      </w:pPr>
      <w:r w:rsidRPr="00A56D78">
        <w:rPr>
          <w:rFonts w:cstheme="minorHAnsi"/>
        </w:rPr>
        <w:t xml:space="preserve">It is the intent of the WIOA and CCMEP programs not to pay for any repeat classes previously paid for through the ITA.  This includes books, supplies, testing, travel, </w:t>
      </w:r>
      <w:r w:rsidR="00F7743A" w:rsidRPr="00A56D78">
        <w:rPr>
          <w:rFonts w:cstheme="minorHAnsi"/>
        </w:rPr>
        <w:t>etc.</w:t>
      </w:r>
      <w:r w:rsidRPr="00A56D78">
        <w:rPr>
          <w:rFonts w:cstheme="minorHAnsi"/>
        </w:rPr>
        <w:t xml:space="preserve">, or any supportive services, as related to the class.  Payment of repeat classes or supportive service for repeat class (s) will be at the discretion of the Program </w:t>
      </w:r>
      <w:r w:rsidR="00BC27C2" w:rsidRPr="00A56D78">
        <w:rPr>
          <w:rFonts w:cstheme="minorHAnsi"/>
        </w:rPr>
        <w:t>Operator and</w:t>
      </w:r>
      <w:r w:rsidRPr="00A56D78">
        <w:rPr>
          <w:rFonts w:cstheme="minorHAnsi"/>
        </w:rPr>
        <w:t xml:space="preserve"> documented and maintained in the participant file. </w:t>
      </w:r>
    </w:p>
    <w:p w14:paraId="7AF5B36F" w14:textId="417F220B" w:rsidR="00895890" w:rsidRDefault="00895890" w:rsidP="00895890">
      <w:pPr>
        <w:spacing w:after="0" w:line="240" w:lineRule="auto"/>
        <w:rPr>
          <w:rFonts w:cstheme="minorHAnsi"/>
        </w:rPr>
      </w:pPr>
    </w:p>
    <w:p w14:paraId="4549CD8C" w14:textId="77777777" w:rsidR="00D46861" w:rsidRDefault="00D46861" w:rsidP="00895890">
      <w:pPr>
        <w:spacing w:after="0" w:line="240" w:lineRule="auto"/>
        <w:rPr>
          <w:rFonts w:cstheme="minorHAnsi"/>
        </w:rPr>
      </w:pPr>
    </w:p>
    <w:p w14:paraId="569D01D3" w14:textId="3161D3C6" w:rsidR="00895890" w:rsidRDefault="00895890" w:rsidP="00895890">
      <w:pPr>
        <w:spacing w:after="0" w:line="240" w:lineRule="auto"/>
        <w:rPr>
          <w:rFonts w:cstheme="minorHAnsi"/>
        </w:rPr>
      </w:pPr>
    </w:p>
    <w:p w14:paraId="11061F49" w14:textId="32EAEA85" w:rsidR="00BC27C2" w:rsidRDefault="00BC27C2" w:rsidP="00895890">
      <w:pPr>
        <w:spacing w:after="0" w:line="240" w:lineRule="auto"/>
        <w:rPr>
          <w:rFonts w:cstheme="minorHAnsi"/>
        </w:rPr>
      </w:pPr>
    </w:p>
    <w:p w14:paraId="7933B03A" w14:textId="4EFC9EF3" w:rsidR="00BC27C2" w:rsidRDefault="00BC27C2" w:rsidP="00895890">
      <w:pPr>
        <w:spacing w:after="0" w:line="240" w:lineRule="auto"/>
        <w:rPr>
          <w:rFonts w:cstheme="minorHAnsi"/>
        </w:rPr>
      </w:pPr>
    </w:p>
    <w:p w14:paraId="4C6AB01C" w14:textId="33F3083A" w:rsidR="00BC27C2" w:rsidRDefault="00BC27C2" w:rsidP="00895890">
      <w:pPr>
        <w:spacing w:after="0" w:line="240" w:lineRule="auto"/>
        <w:rPr>
          <w:rFonts w:cstheme="minorHAnsi"/>
        </w:rPr>
      </w:pPr>
    </w:p>
    <w:p w14:paraId="0D8F5BAF" w14:textId="77777777" w:rsidR="00BC27C2" w:rsidRDefault="00BC27C2" w:rsidP="00895890">
      <w:pPr>
        <w:spacing w:after="0" w:line="240" w:lineRule="auto"/>
        <w:rPr>
          <w:rFonts w:cstheme="minorHAnsi"/>
        </w:rPr>
      </w:pPr>
    </w:p>
    <w:p w14:paraId="5D3DCC81" w14:textId="38A24E8B" w:rsidR="00895890" w:rsidRDefault="00895890" w:rsidP="00FB1D7B">
      <w:pPr>
        <w:spacing w:after="0" w:line="240" w:lineRule="auto"/>
        <w:ind w:left="480" w:firstLine="720"/>
        <w:rPr>
          <w:rFonts w:eastAsia="Times New Roman" w:cstheme="minorHAnsi"/>
          <w:color w:val="000000"/>
          <w:u w:val="single"/>
        </w:rPr>
      </w:pPr>
      <w:r>
        <w:rPr>
          <w:rFonts w:cstheme="minorHAnsi"/>
        </w:rPr>
        <w:t xml:space="preserve"> </w:t>
      </w:r>
      <w:r w:rsidRPr="00FB1D7B">
        <w:rPr>
          <w:rFonts w:cstheme="minorHAnsi"/>
        </w:rPr>
        <w:t xml:space="preserve">5 .    </w:t>
      </w:r>
      <w:r w:rsidRPr="00FB1D7B">
        <w:rPr>
          <w:rFonts w:eastAsia="Times New Roman" w:cstheme="minorHAnsi"/>
          <w:color w:val="000000"/>
          <w:u w:val="single"/>
        </w:rPr>
        <w:t>Limits on WDA16 RAP Funding</w:t>
      </w:r>
      <w:r>
        <w:rPr>
          <w:rFonts w:eastAsia="Times New Roman" w:cstheme="minorHAnsi"/>
          <w:color w:val="000000"/>
          <w:u w:val="single"/>
        </w:rPr>
        <w:t xml:space="preserve">          </w:t>
      </w:r>
    </w:p>
    <w:p w14:paraId="43B21233" w14:textId="77777777" w:rsidR="00895890" w:rsidRPr="00895890" w:rsidRDefault="00895890" w:rsidP="00FB1D7B">
      <w:pPr>
        <w:spacing w:after="0" w:line="240" w:lineRule="auto"/>
        <w:rPr>
          <w:rFonts w:cstheme="minorHAnsi"/>
          <w:sz w:val="24"/>
          <w:szCs w:val="24"/>
        </w:rPr>
      </w:pPr>
    </w:p>
    <w:p w14:paraId="52D02924" w14:textId="37653A6C" w:rsidR="00A44C3C" w:rsidRDefault="000C7C3C" w:rsidP="000C7C3C">
      <w:pPr>
        <w:spacing w:after="0" w:line="240" w:lineRule="auto"/>
        <w:ind w:left="1200"/>
        <w:rPr>
          <w:rFonts w:eastAsia="Times New Roman" w:cstheme="minorHAnsi"/>
          <w:color w:val="000000"/>
        </w:rPr>
      </w:pPr>
      <w:r w:rsidRPr="00A56D78">
        <w:rPr>
          <w:rFonts w:eastAsia="Times New Roman" w:cstheme="minorHAnsi"/>
          <w:color w:val="000000"/>
        </w:rPr>
        <w:t>WDB16 may also allow for additional ITA funding limits for those enrolled in a registered apprenticeship program</w:t>
      </w:r>
      <w:r w:rsidR="00895890">
        <w:rPr>
          <w:rFonts w:eastAsia="Times New Roman" w:cstheme="minorHAnsi"/>
          <w:color w:val="000000"/>
        </w:rPr>
        <w:t xml:space="preserve"> </w:t>
      </w:r>
      <w:r w:rsidR="00895890" w:rsidRPr="00FB1D7B">
        <w:rPr>
          <w:rFonts w:eastAsia="Times New Roman" w:cstheme="minorHAnsi"/>
          <w:color w:val="000000"/>
        </w:rPr>
        <w:t>(RAP)</w:t>
      </w:r>
      <w:r w:rsidRPr="00FB1D7B">
        <w:rPr>
          <w:rFonts w:eastAsia="Times New Roman" w:cstheme="minorHAnsi"/>
          <w:color w:val="000000"/>
        </w:rPr>
        <w:t>.</w:t>
      </w:r>
      <w:r w:rsidRPr="00A56D78">
        <w:rPr>
          <w:rFonts w:eastAsia="Times New Roman" w:cstheme="minorHAnsi"/>
          <w:color w:val="000000"/>
        </w:rPr>
        <w:t xml:space="preserve">  Additional federal funding for registered apprenticeship programs is available </w:t>
      </w:r>
      <w:r w:rsidR="00D46861" w:rsidRPr="00A56D78">
        <w:rPr>
          <w:rFonts w:eastAsia="Times New Roman" w:cstheme="minorHAnsi"/>
          <w:color w:val="000000"/>
        </w:rPr>
        <w:t>through.</w:t>
      </w:r>
      <w:r w:rsidRPr="00A56D78">
        <w:rPr>
          <w:rFonts w:eastAsia="Times New Roman" w:cstheme="minorHAnsi"/>
          <w:color w:val="000000"/>
        </w:rPr>
        <w:t xml:space="preserve"> </w:t>
      </w:r>
    </w:p>
    <w:p w14:paraId="72604D07" w14:textId="73780D4F" w:rsidR="00A44C3C" w:rsidRDefault="00A44C3C" w:rsidP="000C7C3C">
      <w:pPr>
        <w:spacing w:after="0" w:line="240" w:lineRule="auto"/>
        <w:ind w:left="1200"/>
        <w:rPr>
          <w:rFonts w:eastAsia="Times New Roman" w:cstheme="minorHAnsi"/>
          <w:color w:val="000000"/>
        </w:rPr>
      </w:pPr>
    </w:p>
    <w:p w14:paraId="5FA394FF" w14:textId="77777777" w:rsidR="00A44C3C" w:rsidRDefault="00A44C3C" w:rsidP="000C7C3C">
      <w:pPr>
        <w:spacing w:after="0" w:line="240" w:lineRule="auto"/>
        <w:ind w:left="1200"/>
        <w:rPr>
          <w:rFonts w:eastAsia="Times New Roman" w:cstheme="minorHAnsi"/>
          <w:color w:val="000000"/>
        </w:rPr>
      </w:pPr>
    </w:p>
    <w:p w14:paraId="418A274B" w14:textId="16C72EEF" w:rsidR="00895890" w:rsidRDefault="000C7C3C" w:rsidP="000C7C3C">
      <w:pPr>
        <w:spacing w:after="0" w:line="240" w:lineRule="auto"/>
        <w:ind w:left="1200"/>
        <w:rPr>
          <w:rFonts w:eastAsia="Times New Roman" w:cstheme="minorHAnsi"/>
          <w:color w:val="000000"/>
        </w:rPr>
      </w:pPr>
      <w:r w:rsidRPr="00A56D78">
        <w:rPr>
          <w:rFonts w:eastAsia="Times New Roman" w:cstheme="minorHAnsi"/>
          <w:color w:val="000000"/>
        </w:rPr>
        <w:t xml:space="preserve">several federal agencies to support business investments in apprentices and to assist educators and intermediaries in strengthening the tie between training and employment through registered apprenticeship.  The Department of Labor’s Training and Employment Guidance Letter No. 13-16 provides websites for several registered </w:t>
      </w:r>
      <w:r w:rsidR="00A44C3C" w:rsidRPr="00A56D78">
        <w:rPr>
          <w:rFonts w:eastAsia="Times New Roman" w:cstheme="minorHAnsi"/>
          <w:color w:val="000000"/>
        </w:rPr>
        <w:t>apprenticeships</w:t>
      </w:r>
      <w:r w:rsidR="00895890">
        <w:rPr>
          <w:rFonts w:eastAsia="Times New Roman" w:cstheme="minorHAnsi"/>
          <w:color w:val="000000"/>
        </w:rPr>
        <w:t>.</w:t>
      </w:r>
    </w:p>
    <w:p w14:paraId="11EBA9C6" w14:textId="77777777" w:rsidR="00895890" w:rsidRDefault="00895890" w:rsidP="000C7C3C">
      <w:pPr>
        <w:spacing w:after="0" w:line="240" w:lineRule="auto"/>
        <w:ind w:left="1200"/>
        <w:rPr>
          <w:rFonts w:eastAsia="Times New Roman" w:cstheme="minorHAnsi"/>
          <w:color w:val="000000"/>
        </w:rPr>
      </w:pPr>
    </w:p>
    <w:p w14:paraId="7D784435" w14:textId="77777777" w:rsidR="00A44C3C" w:rsidRDefault="00A44C3C" w:rsidP="000C7C3C">
      <w:pPr>
        <w:spacing w:after="0" w:line="240" w:lineRule="auto"/>
        <w:ind w:left="1200"/>
        <w:rPr>
          <w:rFonts w:eastAsia="Times New Roman" w:cstheme="minorHAnsi"/>
          <w:color w:val="000000"/>
        </w:rPr>
      </w:pPr>
    </w:p>
    <w:p w14:paraId="64BBE7AC" w14:textId="598E14AE" w:rsidR="000C7C3C" w:rsidRPr="000C7C3C" w:rsidRDefault="00895890" w:rsidP="000C7C3C">
      <w:pPr>
        <w:spacing w:after="0" w:line="240" w:lineRule="auto"/>
        <w:ind w:left="1200"/>
        <w:rPr>
          <w:rFonts w:cstheme="minorHAnsi"/>
        </w:rPr>
      </w:pPr>
      <w:r>
        <w:rPr>
          <w:rFonts w:eastAsia="Times New Roman" w:cstheme="minorHAnsi"/>
          <w:color w:val="000000"/>
        </w:rPr>
        <w:t xml:space="preserve">WDA16 sets a limit </w:t>
      </w:r>
      <w:r w:rsidRPr="00AB47B4">
        <w:rPr>
          <w:rFonts w:eastAsia="Times New Roman" w:cstheme="minorHAnsi"/>
          <w:color w:val="000000"/>
        </w:rPr>
        <w:t xml:space="preserve">of </w:t>
      </w:r>
      <w:r w:rsidR="00FB1D7B" w:rsidRPr="00D551AF">
        <w:rPr>
          <w:rFonts w:eastAsia="Times New Roman" w:cstheme="minorHAnsi"/>
          <w:color w:val="000000"/>
        </w:rPr>
        <w:t>$</w:t>
      </w:r>
      <w:r w:rsidR="00AB47B4" w:rsidRPr="00D551AF">
        <w:rPr>
          <w:rFonts w:eastAsia="Times New Roman" w:cstheme="minorHAnsi"/>
          <w:color w:val="000000"/>
        </w:rPr>
        <w:t>12,000</w:t>
      </w:r>
      <w:r>
        <w:rPr>
          <w:rFonts w:eastAsia="Times New Roman" w:cstheme="minorHAnsi"/>
          <w:color w:val="000000"/>
        </w:rPr>
        <w:t xml:space="preserve"> for an individual total WIOA </w:t>
      </w:r>
      <w:r w:rsidR="00A44C3C">
        <w:rPr>
          <w:rFonts w:eastAsia="Times New Roman" w:cstheme="minorHAnsi"/>
          <w:color w:val="000000"/>
        </w:rPr>
        <w:t>support for</w:t>
      </w:r>
      <w:r>
        <w:rPr>
          <w:rFonts w:eastAsia="Times New Roman" w:cstheme="minorHAnsi"/>
          <w:color w:val="000000"/>
        </w:rPr>
        <w:t xml:space="preserve"> the duration of their approved RAP.</w:t>
      </w:r>
      <w:r w:rsidR="000C7C3C" w:rsidRPr="005B192A">
        <w:rPr>
          <w:rFonts w:eastAsia="Times New Roman" w:cstheme="minorHAnsi"/>
          <w:color w:val="000000"/>
        </w:rPr>
        <w:t xml:space="preserve"> </w:t>
      </w:r>
    </w:p>
    <w:p w14:paraId="17B39286" w14:textId="4F62634B" w:rsidR="00BB0D35" w:rsidRPr="005B192A" w:rsidRDefault="003B107F" w:rsidP="00BC27C2">
      <w:pPr>
        <w:spacing w:after="0" w:line="240" w:lineRule="auto"/>
        <w:ind w:left="1200"/>
        <w:rPr>
          <w:rFonts w:cstheme="minorHAnsi"/>
        </w:rPr>
      </w:pPr>
      <w:r>
        <w:rPr>
          <w:rFonts w:cstheme="minorHAnsi"/>
        </w:rPr>
        <w:t xml:space="preserve">  </w:t>
      </w:r>
      <w:r w:rsidR="00BB0D35" w:rsidRPr="00BB0D35">
        <w:rPr>
          <w:rFonts w:cstheme="minorHAnsi"/>
        </w:rPr>
        <w:tab/>
      </w:r>
    </w:p>
    <w:p w14:paraId="5F08CB69" w14:textId="389B1A27" w:rsidR="005B192A" w:rsidRPr="00A15C13"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 xml:space="preserve">D.       In-Demand </w:t>
      </w:r>
      <w:r w:rsidRPr="00A15C13">
        <w:rPr>
          <w:rFonts w:eastAsia="Times New Roman" w:cstheme="minorHAnsi"/>
          <w:b/>
          <w:bCs/>
          <w:color w:val="000000"/>
        </w:rPr>
        <w:t>Occupations</w:t>
      </w:r>
      <w:r w:rsidR="00F7743A" w:rsidRPr="00A15C13">
        <w:rPr>
          <w:rFonts w:eastAsia="Times New Roman" w:cstheme="minorHAnsi"/>
          <w:b/>
          <w:bCs/>
          <w:color w:val="000000"/>
        </w:rPr>
        <w:t xml:space="preserve"> and Critical Jobs</w:t>
      </w:r>
    </w:p>
    <w:p w14:paraId="6F7065D7" w14:textId="339E54A7" w:rsidR="005B192A" w:rsidRPr="00A15C13" w:rsidRDefault="005B192A" w:rsidP="005B192A">
      <w:pPr>
        <w:spacing w:before="100" w:beforeAutospacing="1" w:after="100" w:afterAutospacing="1" w:line="240" w:lineRule="auto"/>
        <w:ind w:left="1440"/>
        <w:rPr>
          <w:rFonts w:eastAsia="Times New Roman" w:cstheme="minorHAnsi"/>
          <w:color w:val="000000"/>
        </w:rPr>
      </w:pPr>
      <w:r w:rsidRPr="00A15C13">
        <w:rPr>
          <w:rFonts w:eastAsia="Times New Roman" w:cstheme="minorHAnsi"/>
          <w:color w:val="000000"/>
        </w:rPr>
        <w:t>To receive an ITA, a participant must select a training program that is directly linked to employment that is in high demand</w:t>
      </w:r>
      <w:r w:rsidR="00F7743A" w:rsidRPr="00A15C13">
        <w:rPr>
          <w:rFonts w:eastAsia="Times New Roman" w:cstheme="minorHAnsi"/>
          <w:color w:val="000000"/>
        </w:rPr>
        <w:t xml:space="preserve"> or considered critical through the state strategic priority</w:t>
      </w:r>
      <w:r w:rsidRPr="00A15C13">
        <w:rPr>
          <w:rFonts w:eastAsia="Times New Roman" w:cstheme="minorHAnsi"/>
          <w:color w:val="000000"/>
        </w:rPr>
        <w:t>. </w:t>
      </w:r>
    </w:p>
    <w:p w14:paraId="45FFDC1F" w14:textId="10BF779B" w:rsidR="005B192A" w:rsidRPr="00A15C13" w:rsidRDefault="005B192A" w:rsidP="005B192A">
      <w:pPr>
        <w:spacing w:before="100" w:beforeAutospacing="1" w:after="100" w:afterAutospacing="1" w:line="240" w:lineRule="auto"/>
        <w:ind w:left="2160" w:hanging="720"/>
        <w:rPr>
          <w:rFonts w:eastAsia="Times New Roman" w:cstheme="minorHAnsi"/>
          <w:color w:val="000000"/>
        </w:rPr>
      </w:pPr>
      <w:r w:rsidRPr="00A15C13">
        <w:rPr>
          <w:rFonts w:eastAsia="Times New Roman" w:cstheme="minorHAnsi"/>
          <w:color w:val="000000"/>
        </w:rPr>
        <w:t>1.       </w:t>
      </w:r>
      <w:r w:rsidRPr="00A15C13">
        <w:rPr>
          <w:rFonts w:eastAsia="Times New Roman" w:cstheme="minorHAnsi"/>
          <w:color w:val="000000"/>
          <w:u w:val="single"/>
        </w:rPr>
        <w:t>State In-Demand Occupations</w:t>
      </w:r>
      <w:r w:rsidR="00F7743A" w:rsidRPr="00A15C13">
        <w:rPr>
          <w:rFonts w:eastAsia="Times New Roman" w:cstheme="minorHAnsi"/>
          <w:color w:val="000000"/>
          <w:u w:val="single"/>
        </w:rPr>
        <w:t xml:space="preserve"> and Critical Jobs</w:t>
      </w:r>
      <w:r w:rsidRPr="00A15C13">
        <w:rPr>
          <w:rFonts w:eastAsia="Times New Roman" w:cstheme="minorHAnsi"/>
          <w:color w:val="000000"/>
          <w:u w:val="single"/>
        </w:rPr>
        <w:t xml:space="preserve"> (85 Percent)</w:t>
      </w:r>
    </w:p>
    <w:p w14:paraId="03AC6436" w14:textId="5B156DB7" w:rsidR="005B192A"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 xml:space="preserve">“In-demand" occupations were chosen using various industry- and occupation-focused measures. These measures </w:t>
      </w:r>
      <w:r w:rsidR="00BC27C2" w:rsidRPr="00A15C13">
        <w:rPr>
          <w:rFonts w:eastAsia="Times New Roman" w:cstheme="minorHAnsi"/>
          <w:color w:val="000000"/>
        </w:rPr>
        <w:t>include</w:t>
      </w:r>
      <w:r w:rsidRPr="00A15C13">
        <w:rPr>
          <w:rFonts w:eastAsia="Times New Roman" w:cstheme="minorHAnsi"/>
          <w:color w:val="000000"/>
        </w:rPr>
        <w:t xml:space="preserve"> projected openings; projected growth; select JobsOhio industry cluster occupations; and historic job posting data. The list of in-demand occupations will be validated or further enhanced using business data from the online Workforce Information Exchange job forecasts monthly.</w:t>
      </w:r>
    </w:p>
    <w:p w14:paraId="09074810" w14:textId="02AD0D50" w:rsidR="00895890" w:rsidRPr="00A15C13" w:rsidRDefault="00895890" w:rsidP="005B192A">
      <w:pPr>
        <w:spacing w:before="100" w:beforeAutospacing="1" w:after="100" w:afterAutospacing="1" w:line="240" w:lineRule="auto"/>
        <w:ind w:left="2160"/>
        <w:rPr>
          <w:rFonts w:eastAsia="Times New Roman" w:cstheme="minorHAnsi"/>
          <w:color w:val="000000"/>
        </w:rPr>
      </w:pPr>
      <w:r w:rsidRPr="00FB1D7B">
        <w:rPr>
          <w:rFonts w:eastAsia="Times New Roman" w:cstheme="minorHAnsi"/>
          <w:color w:val="000000"/>
        </w:rPr>
        <w:t>Critical jobs are determined through state strategic priority and considered critical to the health and well-being of Ohioans, their families, and our communities.  Such examples of critical jobs may include occupations in early childhood education, mental/behavioral health, and recovery.  These areas have been determined a priority because of their impact on the lives of Ohioans at every stage of life.</w:t>
      </w:r>
    </w:p>
    <w:p w14:paraId="078D2205" w14:textId="3C71CBD6"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Each program year, at least 85 percent of new ITA enrollments for the local area must be in an "in-demand" occupation</w:t>
      </w:r>
      <w:r w:rsidR="00F7743A" w:rsidRPr="00A15C13">
        <w:rPr>
          <w:rFonts w:eastAsia="Times New Roman" w:cstheme="minorHAnsi"/>
          <w:color w:val="000000"/>
        </w:rPr>
        <w:t xml:space="preserve"> or critical job</w:t>
      </w:r>
      <w:r w:rsidRPr="00A15C13">
        <w:rPr>
          <w:rFonts w:eastAsia="Times New Roman" w:cstheme="minorHAnsi"/>
          <w:color w:val="000000"/>
        </w:rPr>
        <w:t xml:space="preserve"> as defined by the </w:t>
      </w:r>
      <w:r w:rsidR="00F7743A" w:rsidRPr="00A15C13">
        <w:rPr>
          <w:rFonts w:eastAsia="Times New Roman" w:cstheme="minorHAnsi"/>
          <w:color w:val="000000"/>
        </w:rPr>
        <w:t>S</w:t>
      </w:r>
      <w:r w:rsidRPr="00A15C13">
        <w:rPr>
          <w:rFonts w:eastAsia="Times New Roman" w:cstheme="minorHAnsi"/>
          <w:color w:val="000000"/>
        </w:rPr>
        <w:t>tate of Ohio. Participants who have a current program year training service start date and whose ITA will carry into the next program year, will not be counted in the next program year’s percentage.</w:t>
      </w:r>
    </w:p>
    <w:p w14:paraId="4C5EC859" w14:textId="7BEFEE74" w:rsidR="005F5FE1" w:rsidRDefault="0064695D" w:rsidP="00D05198">
      <w:pPr>
        <w:spacing w:before="100" w:beforeAutospacing="1" w:after="100" w:afterAutospacing="1" w:line="240" w:lineRule="auto"/>
        <w:ind w:left="2160"/>
      </w:pPr>
      <w:r w:rsidRPr="00A15C13">
        <w:rPr>
          <w:rFonts w:eastAsia="Times New Roman" w:cstheme="minorHAnsi"/>
          <w:color w:val="000000"/>
        </w:rPr>
        <w:t xml:space="preserve">The latest list of Ohio In-Demand </w:t>
      </w:r>
      <w:r w:rsidR="00F7743A" w:rsidRPr="00A15C13">
        <w:rPr>
          <w:rFonts w:eastAsia="Times New Roman" w:cstheme="minorHAnsi"/>
          <w:color w:val="000000"/>
        </w:rPr>
        <w:t xml:space="preserve">and Critical Job </w:t>
      </w:r>
      <w:r w:rsidRPr="00A15C13">
        <w:rPr>
          <w:rFonts w:eastAsia="Times New Roman" w:cstheme="minorHAnsi"/>
          <w:color w:val="000000"/>
        </w:rPr>
        <w:t>occupations can be found at:</w:t>
      </w:r>
      <w:r w:rsidR="005B192A" w:rsidRPr="005B192A">
        <w:rPr>
          <w:rFonts w:eastAsia="Times New Roman" w:cstheme="minorHAnsi"/>
          <w:color w:val="000000"/>
        </w:rPr>
        <w:t> </w:t>
      </w:r>
    </w:p>
    <w:p w14:paraId="284D4532" w14:textId="1F50A0C0" w:rsidR="00F7743A" w:rsidRPr="005B192A" w:rsidRDefault="00000000" w:rsidP="00D05198">
      <w:pPr>
        <w:spacing w:before="100" w:beforeAutospacing="1" w:after="100" w:afterAutospacing="1" w:line="240" w:lineRule="auto"/>
        <w:ind w:left="2160"/>
        <w:rPr>
          <w:rFonts w:eastAsia="Times New Roman" w:cstheme="minorHAnsi"/>
          <w:color w:val="000000"/>
        </w:rPr>
      </w:pPr>
      <w:hyperlink r:id="rId9" w:history="1">
        <w:r w:rsidR="00F7743A" w:rsidRPr="006370F2">
          <w:rPr>
            <w:rStyle w:val="Hyperlink"/>
          </w:rPr>
          <w:t>https://topjobs.ohio.gov/wps/portal/gov/indemand/top-jobs-list</w:t>
        </w:r>
      </w:hyperlink>
      <w:r w:rsidR="00F7743A">
        <w:t xml:space="preserve"> </w:t>
      </w:r>
    </w:p>
    <w:p w14:paraId="6B38D073"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Local Area In-Demand Occupations (15 Percent)</w:t>
      </w:r>
    </w:p>
    <w:p w14:paraId="7DA1CEF9" w14:textId="5F70CF84"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 xml:space="preserve">The remaining 15 percent of ITA enrollments for </w:t>
      </w:r>
      <w:r w:rsidR="00BC6987">
        <w:rPr>
          <w:rFonts w:eastAsia="Times New Roman" w:cstheme="minorHAnsi"/>
          <w:color w:val="000000"/>
        </w:rPr>
        <w:t>WDA16</w:t>
      </w:r>
      <w:r w:rsidRPr="005B192A">
        <w:rPr>
          <w:rFonts w:eastAsia="Times New Roman" w:cstheme="minorHAnsi"/>
          <w:color w:val="000000"/>
        </w:rPr>
        <w:t xml:space="preserve"> may be for occupations defined as in-demand within the local area. Some examples of local area in-demand occupations may include, but are not limited to:</w:t>
      </w:r>
    </w:p>
    <w:p w14:paraId="438E28C2"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local in-demand occupation in a geographic area to which the participant is willing to work or relocate;</w:t>
      </w:r>
    </w:p>
    <w:p w14:paraId="3FBE6F8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lastRenderedPageBreak/>
        <w:t>b.       Employment associated with a regional industry sector or career pathway con</w:t>
      </w:r>
      <w:r w:rsidR="00BB0D35">
        <w:rPr>
          <w:rFonts w:eastAsia="Times New Roman" w:cstheme="minorHAnsi"/>
          <w:color w:val="000000"/>
        </w:rPr>
        <w:t xml:space="preserve">sortium for </w:t>
      </w:r>
      <w:r w:rsidRPr="005B192A">
        <w:rPr>
          <w:rFonts w:eastAsia="Times New Roman" w:cstheme="minorHAnsi"/>
          <w:color w:val="000000"/>
        </w:rPr>
        <w:t>workforce development;</w:t>
      </w:r>
    </w:p>
    <w:p w14:paraId="62284095" w14:textId="77777777" w:rsidR="00A44C3C" w:rsidRDefault="00A44C3C" w:rsidP="005B192A">
      <w:pPr>
        <w:spacing w:before="100" w:beforeAutospacing="1" w:after="100" w:afterAutospacing="1" w:line="240" w:lineRule="auto"/>
        <w:ind w:left="2880" w:hanging="720"/>
        <w:rPr>
          <w:rFonts w:eastAsia="Times New Roman" w:cstheme="minorHAnsi"/>
          <w:color w:val="000000"/>
        </w:rPr>
      </w:pPr>
    </w:p>
    <w:p w14:paraId="07C92161" w14:textId="3ABC3ACB" w:rsidR="005B192A" w:rsidRPr="005B192A" w:rsidRDefault="005B192A" w:rsidP="00BC27C2">
      <w:pPr>
        <w:spacing w:after="0" w:line="240" w:lineRule="auto"/>
        <w:ind w:left="2880" w:hanging="720"/>
        <w:rPr>
          <w:rFonts w:eastAsia="Times New Roman" w:cstheme="minorHAnsi"/>
          <w:color w:val="000000"/>
        </w:rPr>
      </w:pPr>
      <w:r w:rsidRPr="005B192A">
        <w:rPr>
          <w:rFonts w:eastAsia="Times New Roman" w:cstheme="minorHAnsi"/>
          <w:color w:val="000000"/>
        </w:rPr>
        <w:t>c.       A written guarantee of a bona fide job upon completion of training.</w:t>
      </w:r>
    </w:p>
    <w:p w14:paraId="1001B5D1" w14:textId="623D6A2C" w:rsidR="00D87BB4" w:rsidRDefault="005B192A" w:rsidP="00BC27C2">
      <w:pPr>
        <w:spacing w:after="0" w:line="240" w:lineRule="auto"/>
        <w:ind w:left="2160"/>
        <w:rPr>
          <w:rFonts w:eastAsia="Times New Roman" w:cstheme="minorHAnsi"/>
          <w:color w:val="000000"/>
        </w:rPr>
      </w:pPr>
      <w:r w:rsidRPr="005B192A">
        <w:rPr>
          <w:rFonts w:eastAsia="Times New Roman" w:cstheme="minorHAnsi"/>
          <w:color w:val="000000"/>
        </w:rPr>
        <w:t>Appropriate documentation must be maintained in the case files. ODJFS will review adherence</w:t>
      </w:r>
    </w:p>
    <w:p w14:paraId="5D849B9B" w14:textId="3B5F4DA0" w:rsidR="00FB1D7B" w:rsidRPr="00D46861" w:rsidRDefault="005B192A" w:rsidP="00BC27C2">
      <w:pPr>
        <w:spacing w:after="0" w:line="240" w:lineRule="auto"/>
        <w:ind w:left="2160"/>
        <w:rPr>
          <w:rFonts w:eastAsia="Times New Roman" w:cstheme="minorHAnsi"/>
          <w:color w:val="000000"/>
        </w:rPr>
      </w:pPr>
      <w:r w:rsidRPr="005B192A">
        <w:rPr>
          <w:rFonts w:eastAsia="Times New Roman" w:cstheme="minorHAnsi"/>
          <w:color w:val="000000"/>
        </w:rPr>
        <w:t>to this policy and the federal law during comprehensive monitoring visits.</w:t>
      </w:r>
    </w:p>
    <w:p w14:paraId="3773BC35" w14:textId="293B2845" w:rsidR="005B192A" w:rsidRPr="000C7C3C" w:rsidRDefault="000C7C3C" w:rsidP="000C7C3C">
      <w:pPr>
        <w:spacing w:before="100" w:beforeAutospacing="1" w:after="100" w:afterAutospacing="1" w:line="240" w:lineRule="auto"/>
        <w:rPr>
          <w:rFonts w:eastAsia="Times New Roman" w:cstheme="minorHAnsi"/>
          <w:color w:val="000000"/>
        </w:rPr>
      </w:pPr>
      <w:r w:rsidRPr="000C7C3C">
        <w:rPr>
          <w:rFonts w:eastAsia="Times New Roman" w:cstheme="minorHAnsi"/>
          <w:b/>
          <w:color w:val="000000"/>
        </w:rPr>
        <w:t>VI.</w:t>
      </w:r>
      <w:r>
        <w:rPr>
          <w:rFonts w:eastAsia="Times New Roman" w:cstheme="minorHAnsi"/>
          <w:color w:val="000000"/>
        </w:rPr>
        <w:t xml:space="preserve"> </w:t>
      </w:r>
      <w:r w:rsidR="005B192A" w:rsidRPr="00BB0D35">
        <w:rPr>
          <w:rFonts w:eastAsia="Times New Roman" w:cstheme="minorHAnsi"/>
          <w:b/>
          <w:bCs/>
          <w:color w:val="000000"/>
        </w:rPr>
        <w:t xml:space="preserve">   </w:t>
      </w:r>
      <w:r>
        <w:rPr>
          <w:rFonts w:eastAsia="Times New Roman" w:cstheme="minorHAnsi"/>
          <w:b/>
          <w:bCs/>
          <w:color w:val="000000"/>
          <w:u w:val="single"/>
        </w:rPr>
        <w:t xml:space="preserve">    </w:t>
      </w:r>
      <w:r w:rsidR="005B192A" w:rsidRPr="0056614C">
        <w:rPr>
          <w:rFonts w:eastAsia="Times New Roman" w:cstheme="minorHAnsi"/>
          <w:b/>
          <w:bCs/>
          <w:color w:val="000000"/>
          <w:u w:val="single"/>
        </w:rPr>
        <w:t>Waiver Request</w:t>
      </w:r>
    </w:p>
    <w:p w14:paraId="6E080435"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“in-demand” occupations as defined by the State.  The remaining 15 percent of ITA enrollments for the local area may be for occupations defined as “in-demand” for the local area. </w:t>
      </w:r>
    </w:p>
    <w:p w14:paraId="449665FB"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In situations where the local area may exceed the 15 percent enrollment requirement for local “in-demand” occupations, the local WDBs may request a waiver to exceed this requirement. Waivers will be approved on a case by case basis. The waiver template must be completed providing the appropriate justification for the waiver and submitted to </w:t>
      </w:r>
      <w:hyperlink r:id="rId10" w:history="1">
        <w:r w:rsidRPr="00BB0D35">
          <w:rPr>
            <w:rFonts w:eastAsia="Times New Roman" w:cstheme="minorHAnsi"/>
            <w:color w:val="2671EA"/>
          </w:rPr>
          <w:t>WIOAQNA@JFS.OHIO.GOV</w:t>
        </w:r>
      </w:hyperlink>
      <w:r w:rsidRPr="005B192A">
        <w:rPr>
          <w:rFonts w:eastAsia="Times New Roman" w:cstheme="minorHAnsi"/>
          <w:color w:val="000000"/>
        </w:rPr>
        <w:t>.  The subject of the email should read, "ITA Waiver Request."</w:t>
      </w:r>
    </w:p>
    <w:p w14:paraId="58D32A6B"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Reporting Requirements</w:t>
      </w:r>
    </w:p>
    <w:p w14:paraId="380F3BB7"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Pursuant to rule 5101:9-30-04 of the Administrative Code, the local board shall ensure, within 30 days, accurate reporting of WIOA participants, activities, case management, and performance information by using the Ohio Workforce Case Management System (OWCMS).</w:t>
      </w:r>
    </w:p>
    <w:p w14:paraId="3B72A416"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Monitoring</w:t>
      </w:r>
    </w:p>
    <w:p w14:paraId="380DBA35" w14:textId="77777777" w:rsidR="005B192A" w:rsidRPr="005B192A" w:rsidRDefault="00A137C9"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The local area will</w:t>
      </w:r>
      <w:r w:rsidR="005B192A" w:rsidRPr="005B192A">
        <w:rPr>
          <w:rFonts w:eastAsia="Times New Roman" w:cstheme="minorHAnsi"/>
          <w:color w:val="000000"/>
        </w:rPr>
        <w:t xml:space="preserve"> conduct oversight of the implementation of the WIOA programs to ensure that participants are enrolled in the programs and have been provided identified services.</w:t>
      </w:r>
    </w:p>
    <w:p w14:paraId="6FD5E7EE" w14:textId="77777777" w:rsidR="00D87BB4" w:rsidRDefault="005B192A" w:rsidP="00D05198">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Through the state’s monitoring system, program monitors will review the local area’s implementation of the WIOA programs, including a participant file review, during the annual onsite monitoring review for compliance with federal and state laws and regulations.  Any issues will be handled through the state’s monitoring resolution process.</w:t>
      </w:r>
      <w:r w:rsidR="00D05198">
        <w:rPr>
          <w:rFonts w:eastAsia="Times New Roman" w:cstheme="minorHAnsi"/>
          <w:color w:val="000000"/>
        </w:rPr>
        <w:t xml:space="preserve">       </w:t>
      </w:r>
    </w:p>
    <w:p w14:paraId="47A1B71C" w14:textId="77777777" w:rsidR="00D87BB4" w:rsidRDefault="00D87BB4" w:rsidP="00D05198">
      <w:pPr>
        <w:spacing w:before="100" w:beforeAutospacing="1" w:after="100" w:afterAutospacing="1" w:line="240" w:lineRule="auto"/>
        <w:ind w:left="720"/>
        <w:rPr>
          <w:rFonts w:eastAsia="Times New Roman" w:cstheme="minorHAnsi"/>
          <w:color w:val="000000"/>
        </w:rPr>
      </w:pPr>
    </w:p>
    <w:p w14:paraId="792F7783" w14:textId="5E5CF0D6" w:rsidR="00F7743A" w:rsidRDefault="00D87BB4" w:rsidP="00D05198">
      <w:pPr>
        <w:spacing w:before="100" w:beforeAutospacing="1" w:after="100" w:afterAutospacing="1" w:line="240" w:lineRule="auto"/>
        <w:ind w:left="720"/>
        <w:rPr>
          <w:rFonts w:eastAsia="Times New Roman" w:cstheme="minorHAnsi"/>
          <w:color w:val="000000"/>
        </w:rPr>
      </w:pPr>
      <w:r w:rsidRPr="00814A00">
        <w:rPr>
          <w:rFonts w:eastAsia="Times New Roman" w:cstheme="minorHAnsi"/>
          <w:b/>
          <w:bCs/>
          <w:color w:val="000000"/>
        </w:rPr>
        <w:t>Attachment A:</w:t>
      </w:r>
      <w:r w:rsidRPr="00814A00">
        <w:rPr>
          <w:rFonts w:eastAsia="Times New Roman" w:cstheme="minorHAnsi"/>
          <w:color w:val="000000"/>
        </w:rPr>
        <w:t xml:space="preserve">  Use of Individual Training Accounts Glossary</w:t>
      </w:r>
      <w:r w:rsidR="00D05198">
        <w:rPr>
          <w:rFonts w:eastAsia="Times New Roman" w:cstheme="minorHAnsi"/>
          <w:color w:val="000000"/>
        </w:rPr>
        <w:t xml:space="preserve">    </w:t>
      </w:r>
    </w:p>
    <w:p w14:paraId="2E9034E9" w14:textId="77777777" w:rsidR="00D87BB4" w:rsidRDefault="00D87BB4" w:rsidP="00D05198">
      <w:pPr>
        <w:spacing w:before="100" w:beforeAutospacing="1" w:after="100" w:afterAutospacing="1" w:line="240" w:lineRule="auto"/>
        <w:ind w:left="720"/>
        <w:rPr>
          <w:rFonts w:eastAsia="Times New Roman" w:cstheme="minorHAnsi"/>
          <w:color w:val="000000"/>
        </w:rPr>
      </w:pPr>
    </w:p>
    <w:p w14:paraId="01AD5169" w14:textId="3E9BC709" w:rsidR="00A137C9" w:rsidRPr="00D05198" w:rsidRDefault="00D05198" w:rsidP="00D05198">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A137C9" w:rsidRPr="00D05198"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C194" w14:textId="77777777" w:rsidR="00BE0C03" w:rsidRDefault="00BE0C03" w:rsidP="006A0FA7">
      <w:pPr>
        <w:spacing w:after="0" w:line="240" w:lineRule="auto"/>
      </w:pPr>
      <w:r>
        <w:separator/>
      </w:r>
    </w:p>
  </w:endnote>
  <w:endnote w:type="continuationSeparator" w:id="0">
    <w:p w14:paraId="07F0E706" w14:textId="77777777" w:rsidR="00BE0C03" w:rsidRDefault="00BE0C0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4F5E9B81" w14:textId="77777777" w:rsidR="00C10A7F" w:rsidRDefault="00C10A7F">
        <w:pPr>
          <w:pStyle w:val="Footer"/>
          <w:jc w:val="center"/>
        </w:pPr>
        <w:r>
          <w:fldChar w:fldCharType="begin"/>
        </w:r>
        <w:r>
          <w:instrText xml:space="preserve"> PAGE   \* MERGEFORMAT </w:instrText>
        </w:r>
        <w:r>
          <w:fldChar w:fldCharType="separate"/>
        </w:r>
        <w:r w:rsidR="00D13762">
          <w:rPr>
            <w:noProof/>
          </w:rPr>
          <w:t>1</w:t>
        </w:r>
        <w:r>
          <w:rPr>
            <w:noProof/>
          </w:rPr>
          <w:fldChar w:fldCharType="end"/>
        </w:r>
      </w:p>
    </w:sdtContent>
  </w:sdt>
  <w:p w14:paraId="7B8074B5"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BF23" w14:textId="77777777" w:rsidR="00BE0C03" w:rsidRDefault="00BE0C03" w:rsidP="006A0FA7">
      <w:pPr>
        <w:spacing w:after="0" w:line="240" w:lineRule="auto"/>
      </w:pPr>
      <w:r>
        <w:separator/>
      </w:r>
    </w:p>
  </w:footnote>
  <w:footnote w:type="continuationSeparator" w:id="0">
    <w:p w14:paraId="6AC125CD" w14:textId="77777777" w:rsidR="00BE0C03" w:rsidRDefault="00BE0C03"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8DF"/>
    <w:multiLevelType w:val="hybridMultilevel"/>
    <w:tmpl w:val="C06683DC"/>
    <w:lvl w:ilvl="0" w:tplc="686C77CE">
      <w:start w:val="1"/>
      <w:numFmt w:val="upperLetter"/>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513915"/>
    <w:multiLevelType w:val="hybridMultilevel"/>
    <w:tmpl w:val="1CD68724"/>
    <w:lvl w:ilvl="0" w:tplc="FFF27B0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C95CEB"/>
    <w:multiLevelType w:val="hybridMultilevel"/>
    <w:tmpl w:val="42460E10"/>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84A86">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75D28"/>
    <w:multiLevelType w:val="hybridMultilevel"/>
    <w:tmpl w:val="37C01B2C"/>
    <w:lvl w:ilvl="0" w:tplc="D83E468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7B43C7"/>
    <w:multiLevelType w:val="hybridMultilevel"/>
    <w:tmpl w:val="F6ACCBF2"/>
    <w:lvl w:ilvl="0" w:tplc="12721A80">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6257692"/>
    <w:multiLevelType w:val="hybridMultilevel"/>
    <w:tmpl w:val="6830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E5C90"/>
    <w:multiLevelType w:val="hybridMultilevel"/>
    <w:tmpl w:val="5FC8D742"/>
    <w:lvl w:ilvl="0" w:tplc="76D08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B1ABE"/>
    <w:multiLevelType w:val="hybridMultilevel"/>
    <w:tmpl w:val="07E4F6CA"/>
    <w:lvl w:ilvl="0" w:tplc="024E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1688687">
    <w:abstractNumId w:val="16"/>
  </w:num>
  <w:num w:numId="2" w16cid:durableId="1636176950">
    <w:abstractNumId w:val="7"/>
  </w:num>
  <w:num w:numId="3" w16cid:durableId="89861133">
    <w:abstractNumId w:val="14"/>
  </w:num>
  <w:num w:numId="4" w16cid:durableId="279453201">
    <w:abstractNumId w:val="4"/>
  </w:num>
  <w:num w:numId="5" w16cid:durableId="1266501695">
    <w:abstractNumId w:val="5"/>
  </w:num>
  <w:num w:numId="6" w16cid:durableId="1090198744">
    <w:abstractNumId w:val="8"/>
  </w:num>
  <w:num w:numId="7" w16cid:durableId="442383115">
    <w:abstractNumId w:val="9"/>
  </w:num>
  <w:num w:numId="8" w16cid:durableId="1347050302">
    <w:abstractNumId w:val="10"/>
  </w:num>
  <w:num w:numId="9" w16cid:durableId="714545064">
    <w:abstractNumId w:val="3"/>
  </w:num>
  <w:num w:numId="10" w16cid:durableId="513034268">
    <w:abstractNumId w:val="15"/>
  </w:num>
  <w:num w:numId="11" w16cid:durableId="1851026451">
    <w:abstractNumId w:val="12"/>
  </w:num>
  <w:num w:numId="12" w16cid:durableId="780537271">
    <w:abstractNumId w:val="13"/>
  </w:num>
  <w:num w:numId="13" w16cid:durableId="537860685">
    <w:abstractNumId w:val="0"/>
  </w:num>
  <w:num w:numId="14" w16cid:durableId="1118715284">
    <w:abstractNumId w:val="2"/>
  </w:num>
  <w:num w:numId="15" w16cid:durableId="837577575">
    <w:abstractNumId w:val="6"/>
  </w:num>
  <w:num w:numId="16" w16cid:durableId="1537040895">
    <w:abstractNumId w:val="1"/>
  </w:num>
  <w:num w:numId="17" w16cid:durableId="1761829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32628"/>
    <w:rsid w:val="00054BB5"/>
    <w:rsid w:val="00076DDC"/>
    <w:rsid w:val="00093EF3"/>
    <w:rsid w:val="000B0E1C"/>
    <w:rsid w:val="000C7C3C"/>
    <w:rsid w:val="000E6A80"/>
    <w:rsid w:val="00103DE0"/>
    <w:rsid w:val="00117F11"/>
    <w:rsid w:val="00160403"/>
    <w:rsid w:val="00163028"/>
    <w:rsid w:val="00180E66"/>
    <w:rsid w:val="001D5A0D"/>
    <w:rsid w:val="001D7C92"/>
    <w:rsid w:val="001E7619"/>
    <w:rsid w:val="00224225"/>
    <w:rsid w:val="0022425E"/>
    <w:rsid w:val="002366AA"/>
    <w:rsid w:val="002454E7"/>
    <w:rsid w:val="002644F4"/>
    <w:rsid w:val="00275CC5"/>
    <w:rsid w:val="00297611"/>
    <w:rsid w:val="002B0ED8"/>
    <w:rsid w:val="002D2043"/>
    <w:rsid w:val="00303649"/>
    <w:rsid w:val="00323AC8"/>
    <w:rsid w:val="00331E9A"/>
    <w:rsid w:val="003726A3"/>
    <w:rsid w:val="00376584"/>
    <w:rsid w:val="00392741"/>
    <w:rsid w:val="00395AB1"/>
    <w:rsid w:val="0039615F"/>
    <w:rsid w:val="003A2FC5"/>
    <w:rsid w:val="003B0B5C"/>
    <w:rsid w:val="003B107F"/>
    <w:rsid w:val="00424508"/>
    <w:rsid w:val="00436F24"/>
    <w:rsid w:val="004D17E9"/>
    <w:rsid w:val="004E0958"/>
    <w:rsid w:val="004F7A17"/>
    <w:rsid w:val="0052489D"/>
    <w:rsid w:val="00551640"/>
    <w:rsid w:val="00554BC4"/>
    <w:rsid w:val="0056614C"/>
    <w:rsid w:val="005977CD"/>
    <w:rsid w:val="005A3B8F"/>
    <w:rsid w:val="005A6CB7"/>
    <w:rsid w:val="005B192A"/>
    <w:rsid w:val="005B424A"/>
    <w:rsid w:val="005D571D"/>
    <w:rsid w:val="005E4C04"/>
    <w:rsid w:val="005F5FE1"/>
    <w:rsid w:val="00604368"/>
    <w:rsid w:val="00637896"/>
    <w:rsid w:val="0064695D"/>
    <w:rsid w:val="00680D37"/>
    <w:rsid w:val="006848C3"/>
    <w:rsid w:val="00696858"/>
    <w:rsid w:val="006A0FA7"/>
    <w:rsid w:val="006A4E73"/>
    <w:rsid w:val="00705BB6"/>
    <w:rsid w:val="00721778"/>
    <w:rsid w:val="00781CA2"/>
    <w:rsid w:val="00814A00"/>
    <w:rsid w:val="00825A5B"/>
    <w:rsid w:val="008413CA"/>
    <w:rsid w:val="0084140B"/>
    <w:rsid w:val="00881EBF"/>
    <w:rsid w:val="008902AA"/>
    <w:rsid w:val="00892B40"/>
    <w:rsid w:val="00895890"/>
    <w:rsid w:val="008F7917"/>
    <w:rsid w:val="00927A94"/>
    <w:rsid w:val="00953CC8"/>
    <w:rsid w:val="00973CA8"/>
    <w:rsid w:val="009C790B"/>
    <w:rsid w:val="009E129D"/>
    <w:rsid w:val="00A137C9"/>
    <w:rsid w:val="00A15C13"/>
    <w:rsid w:val="00A25A4E"/>
    <w:rsid w:val="00A40B97"/>
    <w:rsid w:val="00A44C3C"/>
    <w:rsid w:val="00A56D78"/>
    <w:rsid w:val="00A864C9"/>
    <w:rsid w:val="00AB3D03"/>
    <w:rsid w:val="00AB47B4"/>
    <w:rsid w:val="00B86049"/>
    <w:rsid w:val="00B933F4"/>
    <w:rsid w:val="00BB0D35"/>
    <w:rsid w:val="00BC27C2"/>
    <w:rsid w:val="00BC6987"/>
    <w:rsid w:val="00BE0C03"/>
    <w:rsid w:val="00C10A7F"/>
    <w:rsid w:val="00C1131D"/>
    <w:rsid w:val="00C567D1"/>
    <w:rsid w:val="00C62E9D"/>
    <w:rsid w:val="00C84D99"/>
    <w:rsid w:val="00CA3C83"/>
    <w:rsid w:val="00CE2B39"/>
    <w:rsid w:val="00CE33EB"/>
    <w:rsid w:val="00CE58D3"/>
    <w:rsid w:val="00D04A0A"/>
    <w:rsid w:val="00D05198"/>
    <w:rsid w:val="00D13762"/>
    <w:rsid w:val="00D378F2"/>
    <w:rsid w:val="00D4232D"/>
    <w:rsid w:val="00D46861"/>
    <w:rsid w:val="00D551AF"/>
    <w:rsid w:val="00D87BB4"/>
    <w:rsid w:val="00DA09D8"/>
    <w:rsid w:val="00DE00F0"/>
    <w:rsid w:val="00E270ED"/>
    <w:rsid w:val="00E31EAA"/>
    <w:rsid w:val="00E52D6C"/>
    <w:rsid w:val="00E62C61"/>
    <w:rsid w:val="00E81007"/>
    <w:rsid w:val="00EA6131"/>
    <w:rsid w:val="00EE1CA6"/>
    <w:rsid w:val="00EF2A2F"/>
    <w:rsid w:val="00F62EE2"/>
    <w:rsid w:val="00F7743A"/>
    <w:rsid w:val="00F97658"/>
    <w:rsid w:val="00FA672B"/>
    <w:rsid w:val="00FB1D7B"/>
    <w:rsid w:val="00FB2734"/>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53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3"/>
    <w:rPr>
      <w:rFonts w:ascii="Segoe UI" w:hAnsi="Segoe UI" w:cs="Segoe UI"/>
      <w:sz w:val="18"/>
      <w:szCs w:val="18"/>
    </w:rPr>
  </w:style>
  <w:style w:type="character" w:styleId="UnresolvedMention">
    <w:name w:val="Unresolved Mention"/>
    <w:basedOn w:val="DefaultParagraphFont"/>
    <w:uiPriority w:val="99"/>
    <w:semiHidden/>
    <w:unhideWhenUsed/>
    <w:rsid w:val="00F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060862221">
      <w:bodyDiv w:val="1"/>
      <w:marLeft w:val="0"/>
      <w:marRight w:val="0"/>
      <w:marTop w:val="0"/>
      <w:marBottom w:val="0"/>
      <w:divBdr>
        <w:top w:val="none" w:sz="0" w:space="0" w:color="auto"/>
        <w:left w:val="none" w:sz="0" w:space="0" w:color="auto"/>
        <w:bottom w:val="none" w:sz="0" w:space="0" w:color="auto"/>
        <w:right w:val="none" w:sz="0" w:space="0" w:color="auto"/>
      </w:divBdr>
      <w:divsChild>
        <w:div w:id="1427000637">
          <w:marLeft w:val="0"/>
          <w:marRight w:val="0"/>
          <w:marTop w:val="0"/>
          <w:marBottom w:val="0"/>
          <w:divBdr>
            <w:top w:val="none" w:sz="0" w:space="0" w:color="auto"/>
            <w:left w:val="none" w:sz="0" w:space="0" w:color="auto"/>
            <w:bottom w:val="none" w:sz="0" w:space="0" w:color="auto"/>
            <w:right w:val="none" w:sz="0" w:space="0" w:color="auto"/>
          </w:divBdr>
        </w:div>
      </w:divsChild>
    </w:div>
    <w:div w:id="1951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OAQNA@JFS.OHIO.GOV" TargetMode="External"/><Relationship Id="rId4" Type="http://schemas.openxmlformats.org/officeDocument/2006/relationships/settings" Target="settings.xml"/><Relationship Id="rId9" Type="http://schemas.openxmlformats.org/officeDocument/2006/relationships/hyperlink" Target="https://topjobs.ohio.gov/wps/portal/gov/indemand/top-job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CE17-3905-4207-9334-5FBA5ED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2020-09-21T16:45:00Z</cp:lastPrinted>
  <dcterms:created xsi:type="dcterms:W3CDTF">2023-02-21T20:20:00Z</dcterms:created>
  <dcterms:modified xsi:type="dcterms:W3CDTF">2023-03-10T23:50:00Z</dcterms:modified>
</cp:coreProperties>
</file>