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3109" w14:textId="77777777" w:rsidR="009C5771" w:rsidRDefault="00B86049">
      <w:r>
        <w:rPr>
          <w:noProof/>
        </w:rPr>
        <mc:AlternateContent>
          <mc:Choice Requires="wps">
            <w:drawing>
              <wp:anchor distT="0" distB="0" distL="114300" distR="114300" simplePos="0" relativeHeight="251659264" behindDoc="0" locked="0" layoutInCell="1" allowOverlap="1" wp14:anchorId="6B848165" wp14:editId="5564F8C6">
                <wp:simplePos x="0" y="0"/>
                <wp:positionH relativeFrom="column">
                  <wp:posOffset>1085850</wp:posOffset>
                </wp:positionH>
                <wp:positionV relativeFrom="paragraph">
                  <wp:posOffset>73025</wp:posOffset>
                </wp:positionV>
                <wp:extent cx="1990725" cy="971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9072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D6917" w14:textId="77777777" w:rsidR="00B86049" w:rsidRPr="00B86049" w:rsidRDefault="00B86049" w:rsidP="00B86049">
                            <w:pPr>
                              <w:rPr>
                                <w:rFonts w:ascii="Arial" w:hAnsi="Arial" w:cs="Arial"/>
                                <w:b/>
                                <w:sz w:val="44"/>
                              </w:rPr>
                            </w:pPr>
                            <w:r w:rsidRPr="00B86049">
                              <w:rPr>
                                <w:rFonts w:ascii="Arial" w:hAnsi="Arial" w:cs="Arial"/>
                                <w:b/>
                                <w:sz w:val="44"/>
                              </w:rPr>
                              <w:t>WDA 16</w:t>
                            </w:r>
                          </w:p>
                          <w:p w14:paraId="27D58AD2" w14:textId="77777777" w:rsidR="00B86049" w:rsidRDefault="00B86049" w:rsidP="00B86049">
                            <w:pPr>
                              <w:pStyle w:val="NoSpacing"/>
                              <w:rPr>
                                <w:rFonts w:ascii="Arial" w:hAnsi="Arial" w:cs="Arial"/>
                                <w:sz w:val="20"/>
                              </w:rPr>
                            </w:pPr>
                          </w:p>
                          <w:p w14:paraId="463B70AE" w14:textId="77777777" w:rsidR="00B86049" w:rsidRPr="00DC0E1E" w:rsidRDefault="00B86049" w:rsidP="00B86049">
                            <w:pPr>
                              <w:pStyle w:val="NoSpacing"/>
                              <w:rPr>
                                <w:rFonts w:ascii="Arial" w:hAnsi="Arial" w:cs="Arial"/>
                                <w:sz w:val="20"/>
                              </w:rPr>
                            </w:pPr>
                            <w:r>
                              <w:rPr>
                                <w:rFonts w:ascii="Arial" w:hAnsi="Arial" w:cs="Arial"/>
                                <w:sz w:val="20"/>
                              </w:rPr>
                              <w:t>A proud partner</w:t>
                            </w:r>
                            <w:r w:rsidRPr="00DC0E1E">
                              <w:rPr>
                                <w:rFonts w:ascii="Arial" w:hAnsi="Arial" w:cs="Arial"/>
                                <w:sz w:val="20"/>
                              </w:rPr>
                              <w:t xml:space="preserve"> of the </w:t>
                            </w:r>
                          </w:p>
                          <w:p w14:paraId="715EAD9B" w14:textId="77777777" w:rsidR="00B86049" w:rsidRPr="00DC0E1E" w:rsidRDefault="00B86049" w:rsidP="00B86049">
                            <w:pPr>
                              <w:pStyle w:val="NoSpacing"/>
                              <w:rPr>
                                <w:rFonts w:ascii="Arial" w:hAnsi="Arial" w:cs="Arial"/>
                                <w:sz w:val="20"/>
                              </w:rPr>
                            </w:pPr>
                            <w:r w:rsidRPr="00DC0E1E">
                              <w:rPr>
                                <w:rFonts w:ascii="Arial" w:hAnsi="Arial" w:cs="Arial"/>
                                <w:sz w:val="20"/>
                              </w:rPr>
                              <w:t>American Job Center network</w:t>
                            </w:r>
                          </w:p>
                          <w:p w14:paraId="583710D0" w14:textId="77777777" w:rsidR="00B86049" w:rsidRPr="00B86049" w:rsidRDefault="00B86049" w:rsidP="00B86049">
                            <w:pPr>
                              <w:jc w:val="center"/>
                              <w:rPr>
                                <w:rFonts w:ascii="Arial" w:hAnsi="Arial" w:cs="Arial"/>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848165" id="_x0000_t202" coordsize="21600,21600" o:spt="202" path="m,l,21600r21600,l21600,xe">
                <v:stroke joinstyle="miter"/>
                <v:path gradientshapeok="t" o:connecttype="rect"/>
              </v:shapetype>
              <v:shape id="Text Box 2" o:spid="_x0000_s1026" type="#_x0000_t202" style="position:absolute;margin-left:85.5pt;margin-top:5.75pt;width:156.7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" fillcolor="white [3201]" stroked="f" strokeweight=".5pt">
                <v:textbox>
                  <w:txbxContent>
                    <w:p w14:paraId="6E9D6917" w14:textId="77777777" w:rsidR="00B86049" w:rsidRPr="00B86049" w:rsidRDefault="00B86049" w:rsidP="00B86049">
                      <w:pPr>
                        <w:rPr>
                          <w:rFonts w:ascii="Arial" w:hAnsi="Arial" w:cs="Arial"/>
                          <w:b/>
                          <w:sz w:val="44"/>
                        </w:rPr>
                      </w:pPr>
                      <w:r w:rsidRPr="00B86049">
                        <w:rPr>
                          <w:rFonts w:ascii="Arial" w:hAnsi="Arial" w:cs="Arial"/>
                          <w:b/>
                          <w:sz w:val="44"/>
                        </w:rPr>
                        <w:t>WDA 16</w:t>
                      </w:r>
                    </w:p>
                    <w:p w14:paraId="27D58AD2" w14:textId="77777777" w:rsidR="00B86049" w:rsidRDefault="00B86049" w:rsidP="00B86049">
                      <w:pPr>
                        <w:pStyle w:val="NoSpacing"/>
                        <w:rPr>
                          <w:rFonts w:ascii="Arial" w:hAnsi="Arial" w:cs="Arial"/>
                          <w:sz w:val="20"/>
                        </w:rPr>
                      </w:pPr>
                    </w:p>
                    <w:p w14:paraId="463B70AE" w14:textId="77777777" w:rsidR="00B86049" w:rsidRPr="00DC0E1E" w:rsidRDefault="00B86049" w:rsidP="00B86049">
                      <w:pPr>
                        <w:pStyle w:val="NoSpacing"/>
                        <w:rPr>
                          <w:rFonts w:ascii="Arial" w:hAnsi="Arial" w:cs="Arial"/>
                          <w:sz w:val="20"/>
                        </w:rPr>
                      </w:pPr>
                      <w:r>
                        <w:rPr>
                          <w:rFonts w:ascii="Arial" w:hAnsi="Arial" w:cs="Arial"/>
                          <w:sz w:val="20"/>
                        </w:rPr>
                        <w:t>A proud partner</w:t>
                      </w:r>
                      <w:r w:rsidRPr="00DC0E1E">
                        <w:rPr>
                          <w:rFonts w:ascii="Arial" w:hAnsi="Arial" w:cs="Arial"/>
                          <w:sz w:val="20"/>
                        </w:rPr>
                        <w:t xml:space="preserve"> of the </w:t>
                      </w:r>
                    </w:p>
                    <w:p w14:paraId="715EAD9B" w14:textId="77777777" w:rsidR="00B86049" w:rsidRPr="00DC0E1E" w:rsidRDefault="00B86049" w:rsidP="00B86049">
                      <w:pPr>
                        <w:pStyle w:val="NoSpacing"/>
                        <w:rPr>
                          <w:rFonts w:ascii="Arial" w:hAnsi="Arial" w:cs="Arial"/>
                          <w:sz w:val="20"/>
                        </w:rPr>
                      </w:pPr>
                      <w:r w:rsidRPr="00DC0E1E">
                        <w:rPr>
                          <w:rFonts w:ascii="Arial" w:hAnsi="Arial" w:cs="Arial"/>
                          <w:sz w:val="20"/>
                        </w:rPr>
                        <w:t>American Job Center network</w:t>
                      </w:r>
                    </w:p>
                    <w:p w14:paraId="583710D0" w14:textId="77777777" w:rsidR="00B86049" w:rsidRPr="00B86049" w:rsidRDefault="00B86049" w:rsidP="00B86049">
                      <w:pPr>
                        <w:jc w:val="center"/>
                        <w:rPr>
                          <w:rFonts w:ascii="Arial" w:hAnsi="Arial" w:cs="Arial"/>
                          <w:b/>
                          <w:sz w:val="32"/>
                        </w:rPr>
                      </w:pPr>
                    </w:p>
                  </w:txbxContent>
                </v:textbox>
              </v:shape>
            </w:pict>
          </mc:Fallback>
        </mc:AlternateContent>
      </w:r>
      <w:r w:rsidR="004F7A17">
        <w:rPr>
          <w:noProof/>
        </w:rPr>
        <w:drawing>
          <wp:inline distT="0" distB="0" distL="0" distR="0" wp14:anchorId="1DA8B227" wp14:editId="6BC73D0F">
            <wp:extent cx="1990725" cy="1085850"/>
            <wp:effectExtent l="0" t="0" r="9525" b="0"/>
            <wp:docPr id="1" name="Picture 1" descr="New Image.JPG"/>
            <wp:cNvGraphicFramePr/>
            <a:graphic xmlns:a="http://schemas.openxmlformats.org/drawingml/2006/main">
              <a:graphicData uri="http://schemas.openxmlformats.org/drawingml/2006/picture">
                <pic:pic xmlns:pic="http://schemas.openxmlformats.org/drawingml/2006/picture">
                  <pic:nvPicPr>
                    <pic:cNvPr id="1" name="Picture 1" descr="New Imag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085850"/>
                    </a:xfrm>
                    <a:prstGeom prst="rect">
                      <a:avLst/>
                    </a:prstGeom>
                    <a:noFill/>
                    <a:ln>
                      <a:noFill/>
                    </a:ln>
                  </pic:spPr>
                </pic:pic>
              </a:graphicData>
            </a:graphic>
          </wp:inline>
        </w:drawing>
      </w:r>
      <w:r w:rsidR="00FD45FB">
        <w:t xml:space="preserve"> </w:t>
      </w:r>
    </w:p>
    <w:p w14:paraId="323FFF6F" w14:textId="77777777" w:rsidR="009C5771" w:rsidRDefault="009C5771" w:rsidP="009C5771"/>
    <w:p w14:paraId="5C372502" w14:textId="36C0ACDF" w:rsidR="0031228B" w:rsidRPr="004C2337" w:rsidRDefault="0031228B" w:rsidP="0031228B">
      <w:pPr>
        <w:rPr>
          <w:rFonts w:ascii="Arial" w:hAnsi="Arial" w:cs="Arial"/>
          <w:b/>
          <w:bCs/>
          <w:sz w:val="28"/>
          <w:szCs w:val="28"/>
        </w:rPr>
      </w:pPr>
      <w:r w:rsidRPr="004C2337">
        <w:rPr>
          <w:rFonts w:ascii="Arial" w:hAnsi="Arial" w:cs="Arial"/>
          <w:b/>
          <w:bCs/>
          <w:sz w:val="28"/>
          <w:szCs w:val="28"/>
        </w:rPr>
        <w:t xml:space="preserve">Policy Letter </w:t>
      </w:r>
      <w:r w:rsidR="00754EF6">
        <w:rPr>
          <w:rFonts w:ascii="Arial" w:hAnsi="Arial" w:cs="Arial"/>
          <w:b/>
          <w:bCs/>
          <w:sz w:val="28"/>
          <w:szCs w:val="28"/>
        </w:rPr>
        <w:t>03-2021</w:t>
      </w:r>
    </w:p>
    <w:p w14:paraId="4A9395D8" w14:textId="77777777" w:rsidR="0031228B" w:rsidRPr="004C2337" w:rsidRDefault="0031228B" w:rsidP="0031228B">
      <w:pPr>
        <w:rPr>
          <w:rFonts w:ascii="Arial" w:hAnsi="Arial" w:cs="Arial"/>
          <w:b/>
          <w:bCs/>
        </w:rPr>
      </w:pPr>
      <w:r w:rsidRPr="004C2337">
        <w:rPr>
          <w:rFonts w:ascii="Arial" w:hAnsi="Arial" w:cs="Arial"/>
          <w:b/>
          <w:bCs/>
          <w:sz w:val="28"/>
          <w:szCs w:val="28"/>
        </w:rPr>
        <w:t xml:space="preserve">Policy: </w:t>
      </w:r>
      <w:r>
        <w:rPr>
          <w:rFonts w:ascii="Arial" w:hAnsi="Arial" w:cs="Arial"/>
          <w:b/>
          <w:bCs/>
          <w:sz w:val="28"/>
          <w:szCs w:val="28"/>
        </w:rPr>
        <w:t xml:space="preserve">Self-Sufficiency for Out of School Youth, Adult, and Dislocated Worker </w:t>
      </w:r>
      <w:r>
        <w:rPr>
          <w:rFonts w:ascii="Arial" w:hAnsi="Arial" w:cs="Arial"/>
          <w:noProof/>
        </w:rPr>
        <mc:AlternateContent>
          <mc:Choice Requires="wps">
            <w:drawing>
              <wp:anchor distT="0" distB="0" distL="114300" distR="114300" simplePos="0" relativeHeight="251661312" behindDoc="1" locked="1" layoutInCell="0" allowOverlap="1" wp14:anchorId="557E5FCF" wp14:editId="6C2E6FAC">
                <wp:simplePos x="0" y="0"/>
                <wp:positionH relativeFrom="page">
                  <wp:posOffset>914400</wp:posOffset>
                </wp:positionH>
                <wp:positionV relativeFrom="paragraph">
                  <wp:posOffset>0</wp:posOffset>
                </wp:positionV>
                <wp:extent cx="5486400" cy="635"/>
                <wp:effectExtent l="0" t="381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18F9" id="Rectangle 2" o:spid="_x0000_s1026" style="position:absolute;margin-left:1in;margin-top:0;width:6in;height:.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y1cQIAAPU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" o:allowincell="f" fillcolor="black" stroked="f" strokeweight="0">
                <w10:wrap anchorx="page"/>
                <w10:anchorlock/>
              </v:rect>
            </w:pict>
          </mc:Fallback>
        </mc:AlternateContent>
      </w:r>
    </w:p>
    <w:p w14:paraId="1AE84A53" w14:textId="77777777" w:rsidR="0031228B" w:rsidRPr="004C2337" w:rsidRDefault="0031228B" w:rsidP="0031228B">
      <w:pPr>
        <w:rPr>
          <w:rFonts w:ascii="Arial" w:hAnsi="Arial" w:cs="Arial"/>
          <w:b/>
          <w:bCs/>
        </w:rPr>
      </w:pPr>
    </w:p>
    <w:p w14:paraId="5C78173C" w14:textId="407C7E1B" w:rsidR="0031228B" w:rsidRDefault="0031228B" w:rsidP="00044B20">
      <w:pPr>
        <w:pStyle w:val="ListParagraph"/>
        <w:numPr>
          <w:ilvl w:val="0"/>
          <w:numId w:val="24"/>
        </w:numPr>
        <w:rPr>
          <w:rFonts w:ascii="Arial" w:hAnsi="Arial" w:cs="Arial"/>
          <w:b/>
          <w:sz w:val="24"/>
          <w:szCs w:val="24"/>
        </w:rPr>
      </w:pPr>
      <w:r w:rsidRPr="00044B20">
        <w:rPr>
          <w:rFonts w:ascii="Arial" w:hAnsi="Arial" w:cs="Arial"/>
          <w:b/>
          <w:sz w:val="24"/>
          <w:szCs w:val="24"/>
        </w:rPr>
        <w:t>PURPOSE</w:t>
      </w:r>
    </w:p>
    <w:p w14:paraId="02FEB611" w14:textId="77777777" w:rsidR="00EA310B" w:rsidRPr="00044B20" w:rsidRDefault="00EA310B" w:rsidP="00EA310B">
      <w:pPr>
        <w:pStyle w:val="ListParagraph"/>
        <w:ind w:left="1080"/>
        <w:rPr>
          <w:rFonts w:ascii="Arial" w:hAnsi="Arial" w:cs="Arial"/>
          <w:b/>
          <w:sz w:val="24"/>
          <w:szCs w:val="24"/>
        </w:rPr>
      </w:pPr>
    </w:p>
    <w:p w14:paraId="39508F89" w14:textId="77777777" w:rsidR="009E6E6F" w:rsidRDefault="009E6E6F" w:rsidP="00125F12">
      <w:pPr>
        <w:pStyle w:val="ListParagraph"/>
        <w:tabs>
          <w:tab w:val="left" w:pos="0"/>
        </w:tabs>
        <w:ind w:left="0"/>
        <w:rPr>
          <w:rFonts w:ascii="Arial" w:hAnsi="Arial" w:cs="Arial"/>
          <w:sz w:val="24"/>
          <w:szCs w:val="24"/>
        </w:rPr>
      </w:pPr>
      <w:r>
        <w:rPr>
          <w:rFonts w:ascii="Arial" w:hAnsi="Arial" w:cs="Arial"/>
          <w:sz w:val="24"/>
          <w:szCs w:val="24"/>
        </w:rPr>
        <w:t xml:space="preserve">            </w:t>
      </w:r>
      <w:r w:rsidR="0031228B" w:rsidRPr="00044B20">
        <w:rPr>
          <w:rFonts w:ascii="Arial" w:hAnsi="Arial" w:cs="Arial"/>
          <w:sz w:val="24"/>
          <w:szCs w:val="24"/>
        </w:rPr>
        <w:t xml:space="preserve">To establish the criteria for Self Sufficiency for Adult, Dislocated and Out of School Youth in </w:t>
      </w:r>
      <w:r>
        <w:rPr>
          <w:rFonts w:ascii="Arial" w:hAnsi="Arial" w:cs="Arial"/>
          <w:sz w:val="24"/>
          <w:szCs w:val="24"/>
        </w:rPr>
        <w:t xml:space="preserve"> </w:t>
      </w:r>
    </w:p>
    <w:p w14:paraId="062044C6" w14:textId="009B5F01" w:rsidR="0031228B" w:rsidRDefault="009E6E6F" w:rsidP="00125F12">
      <w:pPr>
        <w:pStyle w:val="ListParagraph"/>
        <w:tabs>
          <w:tab w:val="left" w:pos="0"/>
        </w:tabs>
        <w:ind w:left="0"/>
        <w:rPr>
          <w:rFonts w:ascii="Arial" w:hAnsi="Arial" w:cs="Arial"/>
          <w:sz w:val="24"/>
          <w:szCs w:val="24"/>
        </w:rPr>
      </w:pPr>
      <w:r>
        <w:rPr>
          <w:rFonts w:ascii="Arial" w:hAnsi="Arial" w:cs="Arial"/>
          <w:sz w:val="24"/>
          <w:szCs w:val="24"/>
        </w:rPr>
        <w:t xml:space="preserve">             </w:t>
      </w:r>
      <w:r w:rsidRPr="00044B20">
        <w:rPr>
          <w:rFonts w:ascii="Arial" w:hAnsi="Arial" w:cs="Arial"/>
          <w:sz w:val="24"/>
          <w:szCs w:val="24"/>
        </w:rPr>
        <w:t xml:space="preserve">accordance with section 134 (b)(3)(A)(i)(I) of WIOA. </w:t>
      </w:r>
      <w:r>
        <w:rPr>
          <w:rFonts w:ascii="Arial" w:hAnsi="Arial" w:cs="Arial"/>
          <w:sz w:val="24"/>
          <w:szCs w:val="24"/>
        </w:rPr>
        <w:t xml:space="preserve"> </w:t>
      </w:r>
    </w:p>
    <w:p w14:paraId="63985F03" w14:textId="77777777" w:rsidR="00EA310B" w:rsidRPr="00044B20" w:rsidRDefault="00EA310B" w:rsidP="00125F12">
      <w:pPr>
        <w:pStyle w:val="ListParagraph"/>
        <w:tabs>
          <w:tab w:val="left" w:pos="0"/>
        </w:tabs>
        <w:ind w:left="0"/>
        <w:rPr>
          <w:color w:val="000000"/>
          <w:sz w:val="24"/>
          <w:szCs w:val="24"/>
        </w:rPr>
      </w:pPr>
    </w:p>
    <w:p w14:paraId="1FABBF66" w14:textId="409A1619" w:rsidR="00125F12" w:rsidRDefault="0031228B" w:rsidP="00044B20">
      <w:pPr>
        <w:pStyle w:val="Level1"/>
        <w:numPr>
          <w:ilvl w:val="0"/>
          <w:numId w:val="24"/>
        </w:numPr>
        <w:tabs>
          <w:tab w:val="left" w:pos="-1440"/>
        </w:tabs>
        <w:rPr>
          <w:rFonts w:ascii="Arial" w:hAnsi="Arial" w:cs="Arial"/>
          <w:b/>
        </w:rPr>
      </w:pPr>
      <w:r w:rsidRPr="004C2337">
        <w:rPr>
          <w:rFonts w:ascii="Arial" w:hAnsi="Arial" w:cs="Arial"/>
          <w:b/>
        </w:rPr>
        <w:t xml:space="preserve">WORKFORCE DEVELOPMENT BOARD APPROVAL  </w:t>
      </w:r>
    </w:p>
    <w:p w14:paraId="724E9139" w14:textId="77777777" w:rsidR="00DA1F26" w:rsidRDefault="00DA1F26" w:rsidP="00DA1F26">
      <w:pPr>
        <w:pStyle w:val="Level1"/>
        <w:numPr>
          <w:ilvl w:val="0"/>
          <w:numId w:val="0"/>
        </w:numPr>
        <w:tabs>
          <w:tab w:val="left" w:pos="-1440"/>
        </w:tabs>
        <w:ind w:left="360"/>
        <w:rPr>
          <w:rFonts w:ascii="Arial" w:hAnsi="Arial" w:cs="Arial"/>
          <w:b/>
        </w:rPr>
      </w:pPr>
    </w:p>
    <w:p w14:paraId="00CEDF6A" w14:textId="33574C25" w:rsidR="006F2A47" w:rsidRPr="006F2A47" w:rsidRDefault="006F2A47" w:rsidP="00DA1F26">
      <w:pPr>
        <w:pStyle w:val="Level1"/>
        <w:numPr>
          <w:ilvl w:val="0"/>
          <w:numId w:val="0"/>
        </w:numPr>
        <w:tabs>
          <w:tab w:val="left" w:pos="-1440"/>
        </w:tabs>
        <w:ind w:left="360"/>
        <w:rPr>
          <w:rFonts w:ascii="Arial" w:hAnsi="Arial" w:cs="Arial"/>
          <w:bCs/>
        </w:rPr>
      </w:pPr>
      <w:r>
        <w:rPr>
          <w:rFonts w:ascii="Arial" w:hAnsi="Arial" w:cs="Arial"/>
          <w:b/>
        </w:rPr>
        <w:t xml:space="preserve">     </w:t>
      </w:r>
      <w:r w:rsidRPr="00B47FFD">
        <w:rPr>
          <w:rFonts w:ascii="Arial" w:hAnsi="Arial" w:cs="Arial"/>
          <w:bCs/>
        </w:rPr>
        <w:t xml:space="preserve">Revised Motion </w:t>
      </w:r>
      <w:r w:rsidR="00B47FFD" w:rsidRPr="00B47FFD">
        <w:rPr>
          <w:rFonts w:ascii="Arial" w:hAnsi="Arial" w:cs="Arial"/>
          <w:bCs/>
        </w:rPr>
        <w:t>04</w:t>
      </w:r>
      <w:r w:rsidRPr="00B47FFD">
        <w:rPr>
          <w:rFonts w:ascii="Arial" w:hAnsi="Arial" w:cs="Arial"/>
          <w:bCs/>
        </w:rPr>
        <w:t>-2025 approved 3/14/25.</w:t>
      </w:r>
    </w:p>
    <w:p w14:paraId="623A53D4" w14:textId="0363DC55" w:rsidR="00044B20" w:rsidRPr="00DA1F26" w:rsidRDefault="00DA1F26" w:rsidP="00044B20">
      <w:pPr>
        <w:pStyle w:val="Level1"/>
        <w:numPr>
          <w:ilvl w:val="0"/>
          <w:numId w:val="0"/>
        </w:numPr>
        <w:tabs>
          <w:tab w:val="left" w:pos="-1440"/>
        </w:tabs>
        <w:ind w:left="720"/>
        <w:rPr>
          <w:rFonts w:ascii="Arial" w:hAnsi="Arial" w:cs="Arial"/>
          <w:bCs/>
        </w:rPr>
      </w:pPr>
      <w:r w:rsidRPr="00F06CD9">
        <w:rPr>
          <w:rFonts w:ascii="Arial" w:hAnsi="Arial" w:cs="Arial"/>
          <w:bCs/>
        </w:rPr>
        <w:t xml:space="preserve">Revised Motion </w:t>
      </w:r>
      <w:r w:rsidR="00F06CD9" w:rsidRPr="00F06CD9">
        <w:rPr>
          <w:rFonts w:ascii="Arial" w:hAnsi="Arial" w:cs="Arial"/>
          <w:bCs/>
        </w:rPr>
        <w:t>30</w:t>
      </w:r>
      <w:r w:rsidRPr="00F06CD9">
        <w:rPr>
          <w:rFonts w:ascii="Arial" w:hAnsi="Arial" w:cs="Arial"/>
          <w:bCs/>
        </w:rPr>
        <w:t>-2022 approved on 12/9/2022.</w:t>
      </w:r>
    </w:p>
    <w:p w14:paraId="1ADA61DB" w14:textId="13F89649" w:rsidR="00445E90" w:rsidRPr="00044B20" w:rsidRDefault="0031228B" w:rsidP="0031228B">
      <w:pPr>
        <w:ind w:firstLine="720"/>
        <w:rPr>
          <w:rFonts w:ascii="Arial" w:hAnsi="Arial" w:cs="Arial"/>
          <w:sz w:val="24"/>
          <w:szCs w:val="24"/>
        </w:rPr>
      </w:pPr>
      <w:r w:rsidRPr="00044B20">
        <w:rPr>
          <w:rFonts w:ascii="Arial" w:hAnsi="Arial" w:cs="Arial"/>
          <w:sz w:val="24"/>
          <w:szCs w:val="24"/>
        </w:rPr>
        <w:t xml:space="preserve">Motion </w:t>
      </w:r>
      <w:r w:rsidR="00754EF6">
        <w:rPr>
          <w:rFonts w:ascii="Arial" w:hAnsi="Arial" w:cs="Arial"/>
          <w:sz w:val="24"/>
          <w:szCs w:val="24"/>
        </w:rPr>
        <w:t>32</w:t>
      </w:r>
      <w:r w:rsidR="00BE2B1A" w:rsidRPr="00044B20">
        <w:rPr>
          <w:rFonts w:ascii="Arial" w:hAnsi="Arial" w:cs="Arial"/>
          <w:sz w:val="24"/>
          <w:szCs w:val="24"/>
        </w:rPr>
        <w:t>-2021</w:t>
      </w:r>
      <w:r w:rsidRPr="00044B20">
        <w:rPr>
          <w:rFonts w:ascii="Arial" w:hAnsi="Arial" w:cs="Arial"/>
          <w:sz w:val="24"/>
          <w:szCs w:val="24"/>
        </w:rPr>
        <w:t xml:space="preserve"> approved on </w:t>
      </w:r>
      <w:r w:rsidR="009812E3" w:rsidRPr="00044B20">
        <w:rPr>
          <w:rFonts w:ascii="Arial" w:hAnsi="Arial" w:cs="Arial"/>
          <w:sz w:val="24"/>
          <w:szCs w:val="24"/>
        </w:rPr>
        <w:t>September 17, 2021</w:t>
      </w:r>
      <w:r w:rsidRPr="00044B20">
        <w:rPr>
          <w:rFonts w:ascii="Arial" w:hAnsi="Arial" w:cs="Arial"/>
          <w:sz w:val="24"/>
          <w:szCs w:val="24"/>
        </w:rPr>
        <w:t>.</w:t>
      </w:r>
      <w:r w:rsidR="00445E90" w:rsidRPr="00044B20">
        <w:rPr>
          <w:rFonts w:ascii="Arial" w:hAnsi="Arial" w:cs="Arial"/>
          <w:sz w:val="24"/>
          <w:szCs w:val="24"/>
        </w:rPr>
        <w:t xml:space="preserve">  </w:t>
      </w:r>
    </w:p>
    <w:p w14:paraId="6CCFC943" w14:textId="77777777" w:rsidR="0031228B" w:rsidRPr="004C2337" w:rsidRDefault="0031228B" w:rsidP="0031228B">
      <w:pPr>
        <w:rPr>
          <w:rFonts w:ascii="Arial" w:hAnsi="Arial" w:cs="Arial"/>
        </w:rPr>
      </w:pPr>
    </w:p>
    <w:p w14:paraId="7A690F8A" w14:textId="5A12B26D" w:rsidR="0031228B" w:rsidRPr="004C2337" w:rsidRDefault="0031228B" w:rsidP="009E6E6F">
      <w:pPr>
        <w:pStyle w:val="Level1"/>
        <w:numPr>
          <w:ilvl w:val="0"/>
          <w:numId w:val="24"/>
        </w:numPr>
        <w:tabs>
          <w:tab w:val="left" w:pos="-1440"/>
        </w:tabs>
        <w:rPr>
          <w:rFonts w:ascii="Arial" w:hAnsi="Arial" w:cs="Arial"/>
          <w:b/>
        </w:rPr>
      </w:pPr>
      <w:r w:rsidRPr="004C2337">
        <w:rPr>
          <w:rFonts w:ascii="Arial" w:hAnsi="Arial" w:cs="Arial"/>
          <w:b/>
        </w:rPr>
        <w:t>POLICY CANCELLATION</w:t>
      </w:r>
    </w:p>
    <w:p w14:paraId="2B86193F" w14:textId="77777777" w:rsidR="0031228B" w:rsidRPr="004C2337" w:rsidRDefault="0031228B" w:rsidP="0031228B">
      <w:pPr>
        <w:pStyle w:val="Level1"/>
        <w:numPr>
          <w:ilvl w:val="0"/>
          <w:numId w:val="0"/>
        </w:numPr>
        <w:tabs>
          <w:tab w:val="left" w:pos="-1440"/>
        </w:tabs>
        <w:ind w:left="720"/>
        <w:rPr>
          <w:rFonts w:ascii="Arial" w:hAnsi="Arial" w:cs="Arial"/>
        </w:rPr>
      </w:pPr>
    </w:p>
    <w:p w14:paraId="229C5DE1" w14:textId="77777777" w:rsidR="00044B20" w:rsidRDefault="00044B20" w:rsidP="00044B20">
      <w:pPr>
        <w:spacing w:after="0"/>
        <w:ind w:firstLine="720"/>
        <w:rPr>
          <w:rFonts w:ascii="Arial" w:hAnsi="Arial" w:cs="Arial"/>
          <w:sz w:val="24"/>
          <w:szCs w:val="24"/>
        </w:rPr>
      </w:pPr>
      <w:r w:rsidRPr="00044B20">
        <w:rPr>
          <w:rFonts w:ascii="Arial" w:hAnsi="Arial" w:cs="Arial"/>
          <w:sz w:val="24"/>
          <w:szCs w:val="24"/>
        </w:rPr>
        <w:t xml:space="preserve">This replaces LPL 06-2015 approved 8/28/15 and as amended in Motion 44-2019 December </w:t>
      </w:r>
      <w:r>
        <w:rPr>
          <w:rFonts w:ascii="Arial" w:hAnsi="Arial" w:cs="Arial"/>
          <w:sz w:val="24"/>
          <w:szCs w:val="24"/>
        </w:rPr>
        <w:t xml:space="preserve">  </w:t>
      </w:r>
    </w:p>
    <w:p w14:paraId="30DC4FA7" w14:textId="6B93C407" w:rsidR="00044B20" w:rsidRPr="00044B20" w:rsidRDefault="00044B20" w:rsidP="00044B20">
      <w:pPr>
        <w:spacing w:after="0"/>
        <w:ind w:firstLine="720"/>
        <w:rPr>
          <w:rFonts w:ascii="Arial" w:hAnsi="Arial" w:cs="Arial"/>
          <w:sz w:val="24"/>
          <w:szCs w:val="24"/>
        </w:rPr>
      </w:pPr>
      <w:r w:rsidRPr="00044B20">
        <w:rPr>
          <w:rFonts w:ascii="Arial" w:hAnsi="Arial" w:cs="Arial"/>
          <w:sz w:val="24"/>
          <w:szCs w:val="24"/>
        </w:rPr>
        <w:t xml:space="preserve">6, 2019. </w:t>
      </w:r>
      <w:r>
        <w:rPr>
          <w:rFonts w:ascii="Arial" w:hAnsi="Arial" w:cs="Arial"/>
          <w:sz w:val="24"/>
          <w:szCs w:val="24"/>
        </w:rPr>
        <w:t xml:space="preserve">   </w:t>
      </w:r>
    </w:p>
    <w:p w14:paraId="10396B14" w14:textId="77777777" w:rsidR="003022B2" w:rsidRDefault="003022B2" w:rsidP="0031228B">
      <w:pPr>
        <w:pStyle w:val="Level1"/>
        <w:numPr>
          <w:ilvl w:val="0"/>
          <w:numId w:val="0"/>
        </w:numPr>
        <w:tabs>
          <w:tab w:val="left" w:pos="-1440"/>
        </w:tabs>
        <w:ind w:left="720"/>
        <w:rPr>
          <w:rFonts w:ascii="Arial" w:hAnsi="Arial" w:cs="Arial"/>
        </w:rPr>
      </w:pPr>
    </w:p>
    <w:p w14:paraId="05CDA647" w14:textId="77777777" w:rsidR="0031228B" w:rsidRPr="004C2337" w:rsidRDefault="0031228B" w:rsidP="0031228B">
      <w:pPr>
        <w:pStyle w:val="Level1"/>
        <w:numPr>
          <w:ilvl w:val="0"/>
          <w:numId w:val="0"/>
        </w:numPr>
        <w:tabs>
          <w:tab w:val="left" w:pos="-1440"/>
        </w:tabs>
        <w:ind w:left="720"/>
        <w:rPr>
          <w:rFonts w:ascii="Arial" w:hAnsi="Arial" w:cs="Arial"/>
        </w:rPr>
      </w:pPr>
    </w:p>
    <w:p w14:paraId="3D709443" w14:textId="77777777" w:rsidR="0031228B" w:rsidRPr="00CF28E8" w:rsidRDefault="0031228B" w:rsidP="00044B20">
      <w:pPr>
        <w:pStyle w:val="Level1"/>
        <w:numPr>
          <w:ilvl w:val="0"/>
          <w:numId w:val="24"/>
        </w:numPr>
        <w:tabs>
          <w:tab w:val="left" w:pos="-1440"/>
        </w:tabs>
        <w:rPr>
          <w:rFonts w:ascii="Arial" w:hAnsi="Arial" w:cs="Arial"/>
          <w:b/>
        </w:rPr>
      </w:pPr>
      <w:r>
        <w:rPr>
          <w:rFonts w:ascii="Arial" w:hAnsi="Arial" w:cs="Arial"/>
          <w:b/>
        </w:rPr>
        <w:t>BACKGROUND</w:t>
      </w:r>
    </w:p>
    <w:p w14:paraId="22F49719" w14:textId="77777777" w:rsidR="0031228B" w:rsidRPr="009812E3" w:rsidRDefault="0031228B" w:rsidP="0031228B">
      <w:pPr>
        <w:pStyle w:val="Level1"/>
        <w:numPr>
          <w:ilvl w:val="0"/>
          <w:numId w:val="0"/>
        </w:numPr>
        <w:tabs>
          <w:tab w:val="left" w:pos="-1440"/>
        </w:tabs>
        <w:ind w:left="720"/>
        <w:rPr>
          <w:rFonts w:ascii="Arial" w:hAnsi="Arial" w:cs="Arial"/>
        </w:rPr>
      </w:pPr>
    </w:p>
    <w:p w14:paraId="1C555BDF" w14:textId="77777777" w:rsidR="0031228B" w:rsidRPr="009812E3" w:rsidRDefault="0031228B" w:rsidP="0031228B">
      <w:pPr>
        <w:ind w:left="720"/>
        <w:rPr>
          <w:rFonts w:ascii="Arial" w:hAnsi="Arial" w:cs="Arial"/>
          <w:sz w:val="24"/>
          <w:szCs w:val="24"/>
        </w:rPr>
      </w:pPr>
      <w:r w:rsidRPr="009812E3">
        <w:rPr>
          <w:rFonts w:ascii="Arial" w:hAnsi="Arial" w:cs="Arial"/>
          <w:sz w:val="24"/>
          <w:szCs w:val="24"/>
        </w:rPr>
        <w:t>Pursuant to section 134 (b)(3)(A)(i)(I) of WIOA, for adults and dislocated workers to receive training services, they must be in need of such service to obtain or retain employment that allows for economic self-sufficiency.  The local areas must determine criteria for self-sufficiency.  At a minimum, self-sufficiency may mean employment that pays at least the lower living standard income as defined in section 3(36)(B) of WIOA or that pays comparable to or higher than wages from previous employment.</w:t>
      </w:r>
    </w:p>
    <w:p w14:paraId="11B23FEC" w14:textId="77777777" w:rsidR="0031228B" w:rsidRPr="009812E3" w:rsidRDefault="0031228B" w:rsidP="0031228B">
      <w:pPr>
        <w:ind w:left="720"/>
        <w:rPr>
          <w:rFonts w:ascii="Arial" w:hAnsi="Arial" w:cs="Arial"/>
          <w:sz w:val="24"/>
          <w:szCs w:val="24"/>
        </w:rPr>
      </w:pPr>
    </w:p>
    <w:p w14:paraId="7E4B0644" w14:textId="6C270FA4" w:rsidR="0031228B" w:rsidRPr="009812E3" w:rsidRDefault="0031228B" w:rsidP="0031228B">
      <w:pPr>
        <w:rPr>
          <w:rFonts w:ascii="Arial" w:hAnsi="Arial" w:cs="Arial"/>
          <w:b/>
          <w:sz w:val="24"/>
          <w:szCs w:val="24"/>
        </w:rPr>
      </w:pPr>
      <w:r w:rsidRPr="009812E3">
        <w:rPr>
          <w:rFonts w:ascii="Arial" w:hAnsi="Arial" w:cs="Arial"/>
          <w:b/>
          <w:sz w:val="24"/>
          <w:szCs w:val="24"/>
        </w:rPr>
        <w:t>V.</w:t>
      </w:r>
      <w:r w:rsidRPr="009812E3">
        <w:rPr>
          <w:rFonts w:ascii="Arial" w:hAnsi="Arial" w:cs="Arial"/>
          <w:b/>
          <w:sz w:val="24"/>
          <w:szCs w:val="24"/>
        </w:rPr>
        <w:tab/>
        <w:t>DEFINITIONS:</w:t>
      </w:r>
    </w:p>
    <w:p w14:paraId="1F3C4E20" w14:textId="77777777" w:rsidR="0031228B" w:rsidRPr="009812E3" w:rsidRDefault="0031228B" w:rsidP="0031228B">
      <w:pPr>
        <w:rPr>
          <w:rFonts w:ascii="Arial" w:hAnsi="Arial" w:cs="Arial"/>
          <w:b/>
          <w:sz w:val="24"/>
          <w:szCs w:val="24"/>
        </w:rPr>
      </w:pPr>
    </w:p>
    <w:p w14:paraId="678DD8FF" w14:textId="77777777" w:rsidR="0031228B" w:rsidRPr="009812E3" w:rsidRDefault="0031228B" w:rsidP="0031228B">
      <w:pPr>
        <w:pStyle w:val="ListParagraph"/>
        <w:numPr>
          <w:ilvl w:val="0"/>
          <w:numId w:val="20"/>
        </w:numPr>
        <w:spacing w:after="0" w:line="240" w:lineRule="auto"/>
        <w:contextualSpacing w:val="0"/>
        <w:rPr>
          <w:rFonts w:ascii="Arial" w:hAnsi="Arial" w:cs="Arial"/>
          <w:sz w:val="24"/>
          <w:szCs w:val="24"/>
        </w:rPr>
      </w:pPr>
      <w:r w:rsidRPr="009812E3">
        <w:rPr>
          <w:rFonts w:ascii="Arial" w:hAnsi="Arial" w:cs="Arial"/>
          <w:sz w:val="24"/>
          <w:szCs w:val="24"/>
        </w:rPr>
        <w:t xml:space="preserve">Self-Sufficiency:  </w:t>
      </w:r>
    </w:p>
    <w:p w14:paraId="47CA9164" w14:textId="12E889A9" w:rsidR="0031228B" w:rsidRPr="00B47FFD" w:rsidRDefault="0031228B" w:rsidP="0031228B">
      <w:pPr>
        <w:pStyle w:val="ListParagraph"/>
        <w:numPr>
          <w:ilvl w:val="0"/>
          <w:numId w:val="21"/>
        </w:numPr>
        <w:spacing w:after="0" w:line="240" w:lineRule="auto"/>
        <w:contextualSpacing w:val="0"/>
        <w:rPr>
          <w:rFonts w:ascii="Arial" w:hAnsi="Arial" w:cs="Arial"/>
          <w:sz w:val="24"/>
          <w:szCs w:val="24"/>
        </w:rPr>
      </w:pPr>
      <w:r w:rsidRPr="00B47FFD">
        <w:rPr>
          <w:rFonts w:ascii="Arial" w:hAnsi="Arial" w:cs="Arial"/>
          <w:sz w:val="24"/>
          <w:szCs w:val="24"/>
        </w:rPr>
        <w:t xml:space="preserve">Employed </w:t>
      </w:r>
      <w:r w:rsidR="00BC23E7" w:rsidRPr="00B47FFD">
        <w:rPr>
          <w:rFonts w:ascii="Arial" w:hAnsi="Arial" w:cs="Arial"/>
          <w:sz w:val="24"/>
          <w:szCs w:val="24"/>
        </w:rPr>
        <w:t xml:space="preserve">or unemployed </w:t>
      </w:r>
      <w:r w:rsidRPr="00B47FFD">
        <w:rPr>
          <w:rFonts w:ascii="Arial" w:hAnsi="Arial" w:cs="Arial"/>
          <w:sz w:val="24"/>
          <w:szCs w:val="24"/>
        </w:rPr>
        <w:t>Adult</w:t>
      </w:r>
      <w:r w:rsidR="006F2A47" w:rsidRPr="00B47FFD">
        <w:rPr>
          <w:rFonts w:ascii="Arial" w:hAnsi="Arial" w:cs="Arial"/>
          <w:sz w:val="24"/>
          <w:szCs w:val="24"/>
        </w:rPr>
        <w:t>: An</w:t>
      </w:r>
      <w:r w:rsidRPr="00B47FFD">
        <w:rPr>
          <w:rFonts w:ascii="Arial" w:hAnsi="Arial" w:cs="Arial"/>
          <w:sz w:val="24"/>
          <w:szCs w:val="24"/>
        </w:rPr>
        <w:t xml:space="preserve"> adult whose individual </w:t>
      </w:r>
      <w:r w:rsidR="000D1C35" w:rsidRPr="00B47FFD">
        <w:rPr>
          <w:rFonts w:ascii="Arial" w:hAnsi="Arial" w:cs="Arial"/>
          <w:sz w:val="24"/>
          <w:szCs w:val="24"/>
        </w:rPr>
        <w:t>gross includable income</w:t>
      </w:r>
      <w:r w:rsidRPr="00B47FFD">
        <w:rPr>
          <w:rFonts w:ascii="Arial" w:hAnsi="Arial" w:cs="Arial"/>
          <w:sz w:val="24"/>
          <w:szCs w:val="24"/>
        </w:rPr>
        <w:t xml:space="preserve"> exceeds </w:t>
      </w:r>
      <w:r w:rsidR="006F2A47" w:rsidRPr="00B47FFD">
        <w:rPr>
          <w:rFonts w:ascii="Arial" w:hAnsi="Arial" w:cs="Arial"/>
          <w:sz w:val="24"/>
          <w:szCs w:val="24"/>
        </w:rPr>
        <w:t>200%</w:t>
      </w:r>
      <w:r w:rsidRPr="00B47FFD">
        <w:rPr>
          <w:rFonts w:ascii="Arial" w:hAnsi="Arial" w:cs="Arial"/>
          <w:sz w:val="24"/>
          <w:szCs w:val="24"/>
        </w:rPr>
        <w:t xml:space="preserve"> of the poverty level </w:t>
      </w:r>
      <w:r w:rsidR="00BC23E7" w:rsidRPr="00B47FFD">
        <w:rPr>
          <w:rFonts w:ascii="Arial" w:hAnsi="Arial" w:cs="Arial"/>
          <w:sz w:val="24"/>
          <w:szCs w:val="24"/>
        </w:rPr>
        <w:t xml:space="preserve">over the past 30 days </w:t>
      </w:r>
      <w:r w:rsidRPr="00B47FFD">
        <w:rPr>
          <w:rFonts w:ascii="Arial" w:hAnsi="Arial" w:cs="Arial"/>
          <w:sz w:val="24"/>
          <w:szCs w:val="24"/>
        </w:rPr>
        <w:t>for a family of one is considered to be self-sufficient and is not eligible for training services.</w:t>
      </w:r>
    </w:p>
    <w:p w14:paraId="4138929A" w14:textId="77777777" w:rsidR="0031228B" w:rsidRPr="009812E3" w:rsidRDefault="0031228B" w:rsidP="0031228B">
      <w:pPr>
        <w:pStyle w:val="ListParagraph"/>
        <w:ind w:left="1440"/>
        <w:rPr>
          <w:rFonts w:ascii="Arial" w:hAnsi="Arial" w:cs="Arial"/>
          <w:sz w:val="24"/>
          <w:szCs w:val="24"/>
        </w:rPr>
      </w:pPr>
    </w:p>
    <w:p w14:paraId="325CFFA7" w14:textId="012F0283" w:rsidR="0031228B" w:rsidRPr="009812E3" w:rsidRDefault="0031228B" w:rsidP="0031228B">
      <w:pPr>
        <w:pStyle w:val="ListParagraph"/>
        <w:numPr>
          <w:ilvl w:val="0"/>
          <w:numId w:val="21"/>
        </w:numPr>
        <w:spacing w:after="0" w:line="240" w:lineRule="auto"/>
        <w:contextualSpacing w:val="0"/>
        <w:rPr>
          <w:rFonts w:ascii="Arial" w:hAnsi="Arial" w:cs="Arial"/>
          <w:sz w:val="24"/>
          <w:szCs w:val="24"/>
        </w:rPr>
      </w:pPr>
      <w:r w:rsidRPr="00B47FFD">
        <w:rPr>
          <w:rFonts w:ascii="Arial" w:hAnsi="Arial" w:cs="Arial"/>
          <w:sz w:val="24"/>
          <w:szCs w:val="24"/>
        </w:rPr>
        <w:t>Employed</w:t>
      </w:r>
      <w:r w:rsidR="00BC23E7" w:rsidRPr="00B47FFD">
        <w:rPr>
          <w:rFonts w:ascii="Arial" w:hAnsi="Arial" w:cs="Arial"/>
          <w:sz w:val="24"/>
          <w:szCs w:val="24"/>
        </w:rPr>
        <w:t xml:space="preserve"> or </w:t>
      </w:r>
      <w:r w:rsidR="00B47FFD" w:rsidRPr="00B47FFD">
        <w:rPr>
          <w:rFonts w:ascii="Arial" w:hAnsi="Arial" w:cs="Arial"/>
          <w:sz w:val="24"/>
          <w:szCs w:val="24"/>
        </w:rPr>
        <w:t>Unemployed Dislocated</w:t>
      </w:r>
      <w:r w:rsidRPr="00B47FFD">
        <w:rPr>
          <w:rFonts w:ascii="Arial" w:hAnsi="Arial" w:cs="Arial"/>
          <w:sz w:val="24"/>
          <w:szCs w:val="24"/>
        </w:rPr>
        <w:t xml:space="preserve"> Worker: A dislocated worker employed in non-interim or non-temporary employment whose individual</w:t>
      </w:r>
      <w:r w:rsidR="000D1C35" w:rsidRPr="00B47FFD">
        <w:rPr>
          <w:rFonts w:ascii="Arial" w:hAnsi="Arial" w:cs="Arial"/>
          <w:sz w:val="24"/>
          <w:szCs w:val="24"/>
        </w:rPr>
        <w:t xml:space="preserve"> gross includable</w:t>
      </w:r>
      <w:r w:rsidRPr="00B47FFD">
        <w:rPr>
          <w:rFonts w:ascii="Arial" w:hAnsi="Arial" w:cs="Arial"/>
          <w:sz w:val="24"/>
          <w:szCs w:val="24"/>
        </w:rPr>
        <w:t xml:space="preserve"> income exceeds </w:t>
      </w:r>
      <w:r w:rsidR="006F2A47" w:rsidRPr="00B47FFD">
        <w:rPr>
          <w:rFonts w:ascii="Arial" w:hAnsi="Arial" w:cs="Arial"/>
          <w:sz w:val="24"/>
          <w:szCs w:val="24"/>
        </w:rPr>
        <w:t>200%</w:t>
      </w:r>
      <w:r w:rsidRPr="00B47FFD">
        <w:rPr>
          <w:rFonts w:ascii="Arial" w:hAnsi="Arial" w:cs="Arial"/>
          <w:sz w:val="24"/>
          <w:szCs w:val="24"/>
        </w:rPr>
        <w:t xml:space="preserve"> of the poverty level</w:t>
      </w:r>
      <w:r w:rsidR="00BC23E7" w:rsidRPr="00B47FFD">
        <w:rPr>
          <w:rFonts w:ascii="Arial" w:hAnsi="Arial" w:cs="Arial"/>
          <w:sz w:val="24"/>
          <w:szCs w:val="24"/>
        </w:rPr>
        <w:t xml:space="preserve"> over the past 30 </w:t>
      </w:r>
      <w:r w:rsidR="00B47FFD" w:rsidRPr="00B47FFD">
        <w:rPr>
          <w:rFonts w:ascii="Arial" w:hAnsi="Arial" w:cs="Arial"/>
          <w:sz w:val="24"/>
          <w:szCs w:val="24"/>
        </w:rPr>
        <w:t>days for</w:t>
      </w:r>
      <w:r w:rsidRPr="00B47FFD">
        <w:rPr>
          <w:rFonts w:ascii="Arial" w:hAnsi="Arial" w:cs="Arial"/>
          <w:sz w:val="24"/>
          <w:szCs w:val="24"/>
        </w:rPr>
        <w:t xml:space="preserve"> a</w:t>
      </w:r>
      <w:r w:rsidRPr="009812E3">
        <w:rPr>
          <w:rFonts w:ascii="Arial" w:hAnsi="Arial" w:cs="Arial"/>
          <w:sz w:val="24"/>
          <w:szCs w:val="24"/>
        </w:rPr>
        <w:t xml:space="preserve"> family of one or is comparable to or higher than wages from previous employment </w:t>
      </w:r>
      <w:proofErr w:type="gramStart"/>
      <w:r w:rsidRPr="009812E3">
        <w:rPr>
          <w:rFonts w:ascii="Arial" w:hAnsi="Arial" w:cs="Arial"/>
          <w:sz w:val="24"/>
          <w:szCs w:val="24"/>
        </w:rPr>
        <w:t>is considered to be</w:t>
      </w:r>
      <w:proofErr w:type="gramEnd"/>
      <w:r w:rsidRPr="009812E3">
        <w:rPr>
          <w:rFonts w:ascii="Arial" w:hAnsi="Arial" w:cs="Arial"/>
          <w:sz w:val="24"/>
          <w:szCs w:val="24"/>
        </w:rPr>
        <w:t xml:space="preserve"> self-sufficient and not eligible for training services.</w:t>
      </w:r>
    </w:p>
    <w:p w14:paraId="34C87E1D" w14:textId="77777777" w:rsidR="0031228B" w:rsidRPr="009812E3" w:rsidRDefault="0031228B" w:rsidP="0031228B">
      <w:pPr>
        <w:rPr>
          <w:rFonts w:ascii="Arial" w:hAnsi="Arial" w:cs="Arial"/>
          <w:b/>
          <w:sz w:val="24"/>
          <w:szCs w:val="24"/>
        </w:rPr>
      </w:pPr>
    </w:p>
    <w:p w14:paraId="0A9AED37" w14:textId="164AA07A" w:rsidR="0031228B" w:rsidRPr="00B47FFD" w:rsidRDefault="0031228B" w:rsidP="0031228B">
      <w:pPr>
        <w:pStyle w:val="ListParagraph"/>
        <w:numPr>
          <w:ilvl w:val="0"/>
          <w:numId w:val="20"/>
        </w:numPr>
        <w:spacing w:after="0" w:line="240" w:lineRule="auto"/>
        <w:contextualSpacing w:val="0"/>
        <w:rPr>
          <w:rFonts w:ascii="Arial" w:eastAsia="Calibri" w:hAnsi="Arial" w:cs="Arial"/>
          <w:sz w:val="24"/>
          <w:szCs w:val="24"/>
        </w:rPr>
      </w:pPr>
      <w:r w:rsidRPr="009812E3">
        <w:rPr>
          <w:rFonts w:ascii="Arial" w:eastAsia="Calibri" w:hAnsi="Arial" w:cs="Arial"/>
          <w:sz w:val="24"/>
          <w:szCs w:val="24"/>
        </w:rPr>
        <w:t>Family Self-Sufficiency</w:t>
      </w:r>
      <w:r w:rsidR="006F2A47" w:rsidRPr="009812E3">
        <w:rPr>
          <w:rFonts w:ascii="Arial" w:eastAsia="Calibri" w:hAnsi="Arial" w:cs="Arial"/>
          <w:sz w:val="24"/>
          <w:szCs w:val="24"/>
        </w:rPr>
        <w:t>: Family</w:t>
      </w:r>
      <w:r w:rsidRPr="009812E3">
        <w:rPr>
          <w:rFonts w:ascii="Arial" w:eastAsia="Calibri" w:hAnsi="Arial" w:cs="Arial"/>
          <w:sz w:val="24"/>
          <w:szCs w:val="24"/>
        </w:rPr>
        <w:t xml:space="preserve"> Self-Sufficiency is the use of the combination of family </w:t>
      </w:r>
      <w:r w:rsidRPr="00B47FFD">
        <w:rPr>
          <w:rFonts w:ascii="Arial" w:eastAsia="Calibri" w:hAnsi="Arial" w:cs="Arial"/>
          <w:sz w:val="24"/>
          <w:szCs w:val="24"/>
        </w:rPr>
        <w:t xml:space="preserve">members' </w:t>
      </w:r>
      <w:r w:rsidR="000D1C35" w:rsidRPr="00B47FFD">
        <w:rPr>
          <w:rFonts w:ascii="Arial" w:hAnsi="Arial" w:cs="Arial"/>
          <w:sz w:val="24"/>
          <w:szCs w:val="24"/>
        </w:rPr>
        <w:t xml:space="preserve">gross includable </w:t>
      </w:r>
      <w:r w:rsidRPr="00B47FFD">
        <w:rPr>
          <w:rFonts w:ascii="Arial" w:eastAsia="Calibri" w:hAnsi="Arial" w:cs="Arial"/>
          <w:sz w:val="24"/>
          <w:szCs w:val="24"/>
        </w:rPr>
        <w:t>income to determine whether or not the participant has the means to fund</w:t>
      </w:r>
      <w:r w:rsidR="00F52CAE" w:rsidRPr="00B47FFD">
        <w:rPr>
          <w:rFonts w:ascii="Arial" w:eastAsia="Calibri" w:hAnsi="Arial" w:cs="Arial"/>
          <w:sz w:val="24"/>
          <w:szCs w:val="24"/>
        </w:rPr>
        <w:t xml:space="preserve"> Individual Training Account</w:t>
      </w:r>
      <w:r w:rsidRPr="00B47FFD">
        <w:rPr>
          <w:rFonts w:ascii="Arial" w:eastAsia="Calibri" w:hAnsi="Arial" w:cs="Arial"/>
          <w:sz w:val="24"/>
          <w:szCs w:val="24"/>
        </w:rPr>
        <w:t xml:space="preserve"> </w:t>
      </w:r>
      <w:r w:rsidR="00F52CAE" w:rsidRPr="00B47FFD">
        <w:rPr>
          <w:rFonts w:ascii="Arial" w:eastAsia="Calibri" w:hAnsi="Arial" w:cs="Arial"/>
          <w:sz w:val="24"/>
          <w:szCs w:val="24"/>
        </w:rPr>
        <w:t>(</w:t>
      </w:r>
      <w:r w:rsidR="00F52CAE" w:rsidRPr="00B47FFD">
        <w:rPr>
          <w:rFonts w:ascii="Arial" w:eastAsia="Calibri" w:hAnsi="Arial" w:cs="Arial"/>
          <w:i/>
          <w:sz w:val="24"/>
          <w:szCs w:val="24"/>
        </w:rPr>
        <w:t>ITA)</w:t>
      </w:r>
      <w:r w:rsidR="00F52CAE" w:rsidRPr="00B47FFD">
        <w:rPr>
          <w:rFonts w:ascii="Arial" w:eastAsia="Calibri" w:hAnsi="Arial" w:cs="Arial"/>
          <w:b/>
          <w:i/>
          <w:sz w:val="24"/>
          <w:szCs w:val="24"/>
        </w:rPr>
        <w:t xml:space="preserve"> </w:t>
      </w:r>
      <w:r w:rsidR="00F52CAE" w:rsidRPr="00B47FFD">
        <w:rPr>
          <w:rFonts w:ascii="Arial" w:eastAsia="Calibri" w:hAnsi="Arial" w:cs="Arial"/>
          <w:bCs/>
          <w:iCs/>
          <w:sz w:val="24"/>
          <w:szCs w:val="24"/>
        </w:rPr>
        <w:t>training</w:t>
      </w:r>
      <w:r w:rsidRPr="00B47FFD">
        <w:rPr>
          <w:rFonts w:ascii="Arial" w:eastAsia="Calibri" w:hAnsi="Arial" w:cs="Arial"/>
          <w:bCs/>
          <w:iCs/>
          <w:sz w:val="24"/>
          <w:szCs w:val="24"/>
        </w:rPr>
        <w:t>.</w:t>
      </w:r>
      <w:r w:rsidRPr="00B47FFD">
        <w:rPr>
          <w:rFonts w:ascii="Arial" w:eastAsia="Calibri" w:hAnsi="Arial" w:cs="Arial"/>
          <w:sz w:val="24"/>
          <w:szCs w:val="24"/>
        </w:rPr>
        <w:t xml:space="preserve">  Adults (employed and unemployed) and all out-of-school youth who have a family income that</w:t>
      </w:r>
      <w:r w:rsidR="00BC23E7" w:rsidRPr="00B47FFD">
        <w:rPr>
          <w:rFonts w:ascii="Arial" w:eastAsia="Calibri" w:hAnsi="Arial" w:cs="Arial"/>
          <w:sz w:val="24"/>
          <w:szCs w:val="24"/>
        </w:rPr>
        <w:t>, over the past 30 days,</w:t>
      </w:r>
      <w:r w:rsidRPr="00B47FFD">
        <w:rPr>
          <w:rFonts w:ascii="Arial" w:eastAsia="Calibri" w:hAnsi="Arial" w:cs="Arial"/>
          <w:sz w:val="24"/>
          <w:szCs w:val="24"/>
        </w:rPr>
        <w:t xml:space="preserve"> exceeds </w:t>
      </w:r>
      <w:r w:rsidR="006F2A47" w:rsidRPr="00B47FFD">
        <w:rPr>
          <w:rFonts w:ascii="Arial" w:eastAsia="Calibri" w:hAnsi="Arial" w:cs="Arial"/>
          <w:sz w:val="24"/>
          <w:szCs w:val="24"/>
        </w:rPr>
        <w:t>200%</w:t>
      </w:r>
      <w:r w:rsidRPr="00B47FFD">
        <w:rPr>
          <w:rFonts w:ascii="Arial" w:eastAsia="Calibri" w:hAnsi="Arial" w:cs="Arial"/>
          <w:sz w:val="24"/>
          <w:szCs w:val="24"/>
        </w:rPr>
        <w:t xml:space="preserve"> of the poverty level are not eligible for ITA funded training.</w:t>
      </w:r>
    </w:p>
    <w:p w14:paraId="032A5B19" w14:textId="77777777" w:rsidR="0031228B" w:rsidRPr="009812E3" w:rsidRDefault="0031228B" w:rsidP="0031228B">
      <w:pPr>
        <w:rPr>
          <w:rFonts w:ascii="Arial" w:hAnsi="Arial" w:cs="Arial"/>
          <w:sz w:val="24"/>
          <w:szCs w:val="24"/>
        </w:rPr>
      </w:pPr>
    </w:p>
    <w:p w14:paraId="0AF574D3" w14:textId="319008CE" w:rsidR="0031228B" w:rsidRPr="009812E3" w:rsidRDefault="0031228B" w:rsidP="0031228B">
      <w:pPr>
        <w:pStyle w:val="Level1"/>
        <w:numPr>
          <w:ilvl w:val="0"/>
          <w:numId w:val="0"/>
        </w:numPr>
        <w:tabs>
          <w:tab w:val="left" w:pos="-1440"/>
        </w:tabs>
        <w:rPr>
          <w:rFonts w:ascii="Arial" w:hAnsi="Arial" w:cs="Arial"/>
          <w:b/>
        </w:rPr>
      </w:pPr>
      <w:r w:rsidRPr="009812E3">
        <w:rPr>
          <w:rFonts w:ascii="Arial" w:hAnsi="Arial" w:cs="Arial"/>
          <w:b/>
        </w:rPr>
        <w:t>V</w:t>
      </w:r>
      <w:r w:rsidR="00044B20">
        <w:rPr>
          <w:rFonts w:ascii="Arial" w:hAnsi="Arial" w:cs="Arial"/>
          <w:b/>
        </w:rPr>
        <w:t>I</w:t>
      </w:r>
      <w:r w:rsidRPr="009812E3">
        <w:rPr>
          <w:rFonts w:ascii="Arial" w:hAnsi="Arial" w:cs="Arial"/>
          <w:b/>
        </w:rPr>
        <w:t>.</w:t>
      </w:r>
      <w:r w:rsidRPr="009812E3">
        <w:rPr>
          <w:rFonts w:ascii="Arial" w:hAnsi="Arial" w:cs="Arial"/>
          <w:b/>
        </w:rPr>
        <w:tab/>
        <w:t>REQUIREMENTS</w:t>
      </w:r>
    </w:p>
    <w:p w14:paraId="058F729D" w14:textId="77777777" w:rsidR="0031228B" w:rsidRPr="009812E3" w:rsidRDefault="0031228B" w:rsidP="0031228B">
      <w:pPr>
        <w:pStyle w:val="Level1"/>
        <w:numPr>
          <w:ilvl w:val="0"/>
          <w:numId w:val="0"/>
        </w:numPr>
        <w:tabs>
          <w:tab w:val="left" w:pos="-1440"/>
        </w:tabs>
        <w:ind w:left="720" w:hanging="720"/>
        <w:rPr>
          <w:rFonts w:ascii="Arial" w:hAnsi="Arial" w:cs="Arial"/>
          <w:b/>
        </w:rPr>
      </w:pPr>
    </w:p>
    <w:p w14:paraId="6B2C9EBB" w14:textId="77777777" w:rsidR="0031228B" w:rsidRPr="009812E3" w:rsidRDefault="0031228B" w:rsidP="0031228B">
      <w:pPr>
        <w:pStyle w:val="Level1"/>
        <w:numPr>
          <w:ilvl w:val="0"/>
          <w:numId w:val="0"/>
        </w:numPr>
        <w:tabs>
          <w:tab w:val="left" w:pos="-1440"/>
        </w:tabs>
        <w:ind w:left="720" w:hanging="720"/>
        <w:rPr>
          <w:rFonts w:ascii="Arial" w:hAnsi="Arial" w:cs="Arial"/>
        </w:rPr>
      </w:pPr>
      <w:r w:rsidRPr="009812E3">
        <w:rPr>
          <w:rFonts w:ascii="Arial" w:hAnsi="Arial" w:cs="Arial"/>
          <w:b/>
        </w:rPr>
        <w:tab/>
      </w:r>
      <w:r w:rsidRPr="009812E3">
        <w:rPr>
          <w:rFonts w:ascii="Arial" w:hAnsi="Arial" w:cs="Arial"/>
        </w:rPr>
        <w:t>A.</w:t>
      </w:r>
      <w:r w:rsidRPr="009812E3">
        <w:rPr>
          <w:rFonts w:ascii="Arial" w:hAnsi="Arial" w:cs="Arial"/>
        </w:rPr>
        <w:tab/>
        <w:t xml:space="preserve">Adult </w:t>
      </w:r>
    </w:p>
    <w:p w14:paraId="29D2553D" w14:textId="77777777" w:rsidR="0031228B" w:rsidRPr="009812E3" w:rsidRDefault="0031228B" w:rsidP="0031228B">
      <w:pPr>
        <w:pStyle w:val="Level1"/>
        <w:numPr>
          <w:ilvl w:val="0"/>
          <w:numId w:val="0"/>
        </w:numPr>
        <w:tabs>
          <w:tab w:val="left" w:pos="-1440"/>
        </w:tabs>
        <w:ind w:left="720" w:hanging="720"/>
        <w:rPr>
          <w:rFonts w:ascii="Arial" w:hAnsi="Arial" w:cs="Arial"/>
        </w:rPr>
      </w:pPr>
      <w:r w:rsidRPr="009812E3">
        <w:rPr>
          <w:rFonts w:ascii="Arial" w:hAnsi="Arial" w:cs="Arial"/>
        </w:rPr>
        <w:tab/>
      </w:r>
    </w:p>
    <w:p w14:paraId="3C2E7C81" w14:textId="0900056B" w:rsidR="0031228B" w:rsidRPr="009812E3" w:rsidRDefault="0031228B" w:rsidP="0031228B">
      <w:pPr>
        <w:rPr>
          <w:rFonts w:ascii="Arial" w:hAnsi="Arial" w:cs="Arial"/>
          <w:color w:val="000000"/>
          <w:sz w:val="24"/>
          <w:szCs w:val="24"/>
        </w:rPr>
      </w:pPr>
      <w:r w:rsidRPr="009812E3">
        <w:rPr>
          <w:rFonts w:ascii="Arial" w:hAnsi="Arial" w:cs="Arial"/>
          <w:sz w:val="24"/>
          <w:szCs w:val="24"/>
        </w:rPr>
        <w:tab/>
      </w:r>
      <w:r w:rsidRPr="009812E3">
        <w:rPr>
          <w:rFonts w:ascii="Arial" w:hAnsi="Arial" w:cs="Arial"/>
          <w:sz w:val="24"/>
          <w:szCs w:val="24"/>
        </w:rPr>
        <w:tab/>
        <w:t>1.</w:t>
      </w:r>
      <w:r w:rsidRPr="009812E3">
        <w:rPr>
          <w:rFonts w:ascii="Arial" w:hAnsi="Arial" w:cs="Arial"/>
          <w:sz w:val="24"/>
          <w:szCs w:val="24"/>
        </w:rPr>
        <w:tab/>
      </w:r>
      <w:r w:rsidRPr="009812E3">
        <w:rPr>
          <w:rFonts w:ascii="Arial" w:hAnsi="Arial" w:cs="Arial"/>
          <w:sz w:val="24"/>
          <w:szCs w:val="24"/>
          <w:lang w:val="en-CA"/>
        </w:rPr>
        <w:fldChar w:fldCharType="begin"/>
      </w:r>
      <w:r w:rsidRPr="009812E3">
        <w:rPr>
          <w:rFonts w:ascii="Arial" w:hAnsi="Arial" w:cs="Arial"/>
          <w:sz w:val="24"/>
          <w:szCs w:val="24"/>
          <w:lang w:val="en-CA"/>
        </w:rPr>
        <w:instrText xml:space="preserve"> SEQ CHAPTER \h \r 1</w:instrText>
      </w:r>
      <w:r w:rsidRPr="009812E3">
        <w:rPr>
          <w:rFonts w:ascii="Arial" w:hAnsi="Arial" w:cs="Arial"/>
          <w:sz w:val="24"/>
          <w:szCs w:val="24"/>
          <w:lang w:val="en-CA"/>
        </w:rPr>
        <w:fldChar w:fldCharType="end"/>
      </w:r>
      <w:r w:rsidRPr="009812E3">
        <w:rPr>
          <w:rFonts w:ascii="Arial" w:hAnsi="Arial" w:cs="Arial"/>
          <w:color w:val="000000"/>
          <w:sz w:val="24"/>
          <w:szCs w:val="24"/>
        </w:rPr>
        <w:t>Self Sufficiency for Adults:</w:t>
      </w:r>
    </w:p>
    <w:p w14:paraId="5E6B3D8C" w14:textId="3F898C2F" w:rsidR="0031228B" w:rsidRPr="009812E3" w:rsidRDefault="0031228B" w:rsidP="0031228B">
      <w:pPr>
        <w:pStyle w:val="Quick1"/>
        <w:tabs>
          <w:tab w:val="left" w:pos="720"/>
          <w:tab w:val="left" w:pos="1440"/>
          <w:tab w:val="left" w:pos="2160"/>
        </w:tabs>
        <w:ind w:left="2160" w:hanging="2160"/>
        <w:rPr>
          <w:rFonts w:ascii="Arial" w:hAnsi="Arial" w:cs="Arial"/>
          <w:color w:val="000000"/>
        </w:rPr>
      </w:pPr>
      <w:r w:rsidRPr="009812E3">
        <w:rPr>
          <w:rFonts w:ascii="Arial" w:hAnsi="Arial" w:cs="Arial"/>
          <w:color w:val="000000"/>
        </w:rPr>
        <w:tab/>
      </w:r>
      <w:r w:rsidRPr="009812E3">
        <w:rPr>
          <w:rFonts w:ascii="Arial" w:hAnsi="Arial" w:cs="Arial"/>
          <w:color w:val="000000"/>
        </w:rPr>
        <w:tab/>
      </w:r>
      <w:r w:rsidRPr="009812E3">
        <w:rPr>
          <w:rFonts w:ascii="Arial" w:hAnsi="Arial" w:cs="Arial"/>
          <w:color w:val="000000"/>
        </w:rPr>
        <w:tab/>
        <w:t xml:space="preserve">Determination of self-sufficiency and eligibility for training services must be determined for adults based on the definition of self-sufficiency </w:t>
      </w:r>
      <w:r w:rsidR="000D1C35">
        <w:rPr>
          <w:rFonts w:ascii="Arial" w:hAnsi="Arial" w:cs="Arial"/>
          <w:color w:val="000000"/>
        </w:rPr>
        <w:t>in this policy</w:t>
      </w:r>
      <w:r w:rsidRPr="009812E3">
        <w:rPr>
          <w:rFonts w:ascii="Arial" w:hAnsi="Arial" w:cs="Arial"/>
          <w:color w:val="000000"/>
        </w:rPr>
        <w:t>.</w:t>
      </w:r>
    </w:p>
    <w:p w14:paraId="53251826" w14:textId="77777777" w:rsidR="0031228B" w:rsidRPr="009812E3" w:rsidRDefault="0031228B" w:rsidP="0031228B">
      <w:pPr>
        <w:pStyle w:val="QuickA"/>
        <w:tabs>
          <w:tab w:val="left" w:pos="720"/>
          <w:tab w:val="left" w:pos="1440"/>
          <w:tab w:val="left" w:pos="2160"/>
          <w:tab w:val="left" w:pos="2880"/>
        </w:tabs>
        <w:ind w:left="2880" w:hanging="2880"/>
        <w:rPr>
          <w:rFonts w:ascii="Arial" w:hAnsi="Arial" w:cs="Arial"/>
          <w:color w:val="000000"/>
        </w:rPr>
      </w:pPr>
    </w:p>
    <w:p w14:paraId="511C400C" w14:textId="77777777" w:rsidR="0031228B" w:rsidRPr="009812E3" w:rsidRDefault="0031228B" w:rsidP="0031228B">
      <w:pPr>
        <w:tabs>
          <w:tab w:val="left" w:pos="720"/>
        </w:tabs>
        <w:ind w:left="720"/>
        <w:rPr>
          <w:rFonts w:ascii="Arial" w:eastAsia="Calibri" w:hAnsi="Arial" w:cs="Arial"/>
          <w:sz w:val="24"/>
          <w:szCs w:val="24"/>
          <w:u w:val="single"/>
        </w:rPr>
      </w:pPr>
      <w:r w:rsidRPr="009812E3">
        <w:rPr>
          <w:rFonts w:ascii="Arial" w:hAnsi="Arial" w:cs="Arial"/>
          <w:color w:val="000000"/>
          <w:sz w:val="24"/>
          <w:szCs w:val="24"/>
        </w:rPr>
        <w:tab/>
        <w:t>2.</w:t>
      </w:r>
      <w:r w:rsidRPr="009812E3">
        <w:rPr>
          <w:rFonts w:ascii="Arial" w:hAnsi="Arial" w:cs="Arial"/>
          <w:color w:val="000000"/>
          <w:sz w:val="24"/>
          <w:szCs w:val="24"/>
        </w:rPr>
        <w:tab/>
      </w:r>
      <w:r w:rsidRPr="009812E3">
        <w:rPr>
          <w:rFonts w:ascii="Arial" w:eastAsia="Calibri" w:hAnsi="Arial" w:cs="Arial"/>
          <w:sz w:val="24"/>
          <w:szCs w:val="24"/>
        </w:rPr>
        <w:t>Additional Requirements for Adult-Funded ITAs:</w:t>
      </w:r>
    </w:p>
    <w:p w14:paraId="43D1E8D2" w14:textId="0FE2808D" w:rsidR="0031228B" w:rsidRPr="009812E3" w:rsidRDefault="0031228B" w:rsidP="0031228B">
      <w:pPr>
        <w:ind w:left="2880" w:hanging="720"/>
        <w:rPr>
          <w:rFonts w:ascii="Arial" w:eastAsia="Calibri" w:hAnsi="Arial" w:cs="Arial"/>
          <w:sz w:val="24"/>
          <w:szCs w:val="24"/>
        </w:rPr>
      </w:pPr>
      <w:r w:rsidRPr="009812E3">
        <w:rPr>
          <w:rFonts w:ascii="Arial" w:eastAsia="Calibri" w:hAnsi="Arial" w:cs="Arial"/>
          <w:sz w:val="24"/>
          <w:szCs w:val="24"/>
        </w:rPr>
        <w:t>a.</w:t>
      </w:r>
      <w:r w:rsidRPr="009812E3">
        <w:rPr>
          <w:rFonts w:ascii="Arial" w:eastAsia="Calibri" w:hAnsi="Arial" w:cs="Arial"/>
          <w:sz w:val="24"/>
          <w:szCs w:val="24"/>
        </w:rPr>
        <w:tab/>
        <w:t xml:space="preserve">As part of the determination of the appropriateness for training services, the local area must review "family self-sufficiency" for participants seeking a WIOA adult-funded ITA.  WIOA adult-funded may only be approved for those who have been determined to be </w:t>
      </w:r>
      <w:r w:rsidRPr="00B47FFD">
        <w:rPr>
          <w:rFonts w:ascii="Arial" w:eastAsia="Calibri" w:hAnsi="Arial" w:cs="Arial"/>
          <w:sz w:val="24"/>
          <w:szCs w:val="24"/>
        </w:rPr>
        <w:t xml:space="preserve">below </w:t>
      </w:r>
      <w:r w:rsidR="00F52CAE" w:rsidRPr="00B47FFD">
        <w:rPr>
          <w:rFonts w:ascii="Arial" w:eastAsia="Calibri" w:hAnsi="Arial" w:cs="Arial"/>
          <w:sz w:val="24"/>
          <w:szCs w:val="24"/>
        </w:rPr>
        <w:t>200</w:t>
      </w:r>
      <w:r w:rsidR="00B47FFD" w:rsidRPr="00B47FFD">
        <w:rPr>
          <w:rFonts w:ascii="Arial" w:eastAsia="Calibri" w:hAnsi="Arial" w:cs="Arial"/>
          <w:sz w:val="24"/>
          <w:szCs w:val="24"/>
        </w:rPr>
        <w:t>%</w:t>
      </w:r>
      <w:r w:rsidR="00B47FFD">
        <w:rPr>
          <w:rFonts w:ascii="Arial" w:eastAsia="Calibri" w:hAnsi="Arial" w:cs="Arial"/>
          <w:sz w:val="24"/>
          <w:szCs w:val="24"/>
        </w:rPr>
        <w:t xml:space="preserve"> </w:t>
      </w:r>
      <w:r w:rsidR="00B47FFD" w:rsidRPr="009812E3">
        <w:rPr>
          <w:rFonts w:ascii="Arial" w:eastAsia="Calibri" w:hAnsi="Arial" w:cs="Arial"/>
          <w:sz w:val="24"/>
          <w:szCs w:val="24"/>
        </w:rPr>
        <w:t>of</w:t>
      </w:r>
      <w:r w:rsidRPr="009812E3">
        <w:rPr>
          <w:rFonts w:ascii="Arial" w:eastAsia="Calibri" w:hAnsi="Arial" w:cs="Arial"/>
          <w:sz w:val="24"/>
          <w:szCs w:val="24"/>
        </w:rPr>
        <w:t xml:space="preserve"> the poverty level.  This requirement is intended to ensure that adult participants seeking adult-funded ITAs are those whose families lack or have limited ability to pay for training and supportive services needed in order to obtain or retain employment.  </w:t>
      </w:r>
    </w:p>
    <w:p w14:paraId="66DD9FAC" w14:textId="77777777" w:rsidR="0031228B" w:rsidRPr="009812E3" w:rsidRDefault="0031228B" w:rsidP="0031228B">
      <w:pPr>
        <w:pStyle w:val="Level1"/>
        <w:numPr>
          <w:ilvl w:val="0"/>
          <w:numId w:val="0"/>
        </w:numPr>
        <w:tabs>
          <w:tab w:val="left" w:pos="-1440"/>
        </w:tabs>
        <w:ind w:left="720" w:hanging="720"/>
        <w:rPr>
          <w:rFonts w:ascii="Arial" w:hAnsi="Arial" w:cs="Arial"/>
          <w:b/>
        </w:rPr>
      </w:pPr>
    </w:p>
    <w:p w14:paraId="5F436C17" w14:textId="56A3E301" w:rsidR="0031228B" w:rsidRPr="009812E3" w:rsidRDefault="0031228B" w:rsidP="0031228B">
      <w:pPr>
        <w:tabs>
          <w:tab w:val="left" w:pos="1170"/>
        </w:tabs>
        <w:ind w:left="2880" w:hanging="720"/>
        <w:rPr>
          <w:rFonts w:ascii="Arial" w:eastAsia="Calibri" w:hAnsi="Arial" w:cs="Arial"/>
          <w:sz w:val="24"/>
          <w:szCs w:val="24"/>
        </w:rPr>
      </w:pPr>
      <w:r w:rsidRPr="009812E3">
        <w:rPr>
          <w:rFonts w:ascii="Arial" w:hAnsi="Arial" w:cs="Arial"/>
          <w:sz w:val="24"/>
          <w:szCs w:val="24"/>
        </w:rPr>
        <w:t>b.</w:t>
      </w:r>
      <w:r w:rsidRPr="009812E3">
        <w:rPr>
          <w:rFonts w:ascii="Arial" w:hAnsi="Arial" w:cs="Arial"/>
          <w:b/>
          <w:sz w:val="24"/>
          <w:szCs w:val="24"/>
        </w:rPr>
        <w:tab/>
      </w:r>
      <w:r w:rsidRPr="009812E3">
        <w:rPr>
          <w:rFonts w:ascii="Arial" w:eastAsia="Calibri" w:hAnsi="Arial" w:cs="Arial"/>
          <w:sz w:val="24"/>
          <w:szCs w:val="24"/>
        </w:rPr>
        <w:t xml:space="preserve">WIOA eligible adults who are </w:t>
      </w:r>
      <w:r w:rsidR="00B47FFD" w:rsidRPr="009812E3">
        <w:rPr>
          <w:rFonts w:ascii="Arial" w:eastAsia="Calibri" w:hAnsi="Arial" w:cs="Arial"/>
          <w:sz w:val="24"/>
          <w:szCs w:val="24"/>
        </w:rPr>
        <w:t>above</w:t>
      </w:r>
      <w:r w:rsidRPr="009812E3">
        <w:rPr>
          <w:rFonts w:ascii="Arial" w:eastAsia="Calibri" w:hAnsi="Arial" w:cs="Arial"/>
          <w:sz w:val="24"/>
          <w:szCs w:val="24"/>
        </w:rPr>
        <w:t xml:space="preserve"> the local standard for "family self-sufficiency" are not eligible for adult-funded ITAs.  Other WIOA services may be provided, as appropriate.  They may also be served using other WIOA funds, if eligible.    </w:t>
      </w:r>
    </w:p>
    <w:p w14:paraId="389689B2" w14:textId="77777777" w:rsidR="0031228B" w:rsidRPr="009812E3" w:rsidRDefault="0031228B" w:rsidP="0031228B">
      <w:pPr>
        <w:pStyle w:val="Level1"/>
        <w:numPr>
          <w:ilvl w:val="0"/>
          <w:numId w:val="0"/>
        </w:numPr>
        <w:tabs>
          <w:tab w:val="left" w:pos="-1440"/>
        </w:tabs>
        <w:ind w:left="720" w:hanging="720"/>
        <w:rPr>
          <w:rFonts w:ascii="Arial" w:hAnsi="Arial" w:cs="Arial"/>
          <w:b/>
        </w:rPr>
      </w:pPr>
      <w:r w:rsidRPr="009812E3">
        <w:rPr>
          <w:rFonts w:ascii="Arial" w:hAnsi="Arial" w:cs="Arial"/>
          <w:b/>
        </w:rPr>
        <w:tab/>
      </w:r>
    </w:p>
    <w:p w14:paraId="1B60ABF3" w14:textId="5F09CC1C" w:rsidR="0031228B" w:rsidRPr="009812E3" w:rsidRDefault="0031228B" w:rsidP="009812E3">
      <w:pPr>
        <w:tabs>
          <w:tab w:val="left" w:pos="720"/>
        </w:tabs>
        <w:ind w:left="720"/>
        <w:rPr>
          <w:rFonts w:ascii="Arial" w:eastAsia="Calibri" w:hAnsi="Arial" w:cs="Arial"/>
          <w:sz w:val="24"/>
          <w:szCs w:val="24"/>
        </w:rPr>
      </w:pPr>
      <w:r w:rsidRPr="009812E3">
        <w:rPr>
          <w:rFonts w:ascii="Arial" w:hAnsi="Arial" w:cs="Arial"/>
          <w:b/>
          <w:sz w:val="24"/>
          <w:szCs w:val="24"/>
        </w:rPr>
        <w:tab/>
      </w:r>
      <w:r w:rsidRPr="009812E3">
        <w:rPr>
          <w:rFonts w:ascii="Arial" w:hAnsi="Arial" w:cs="Arial"/>
          <w:b/>
          <w:sz w:val="24"/>
          <w:szCs w:val="24"/>
        </w:rPr>
        <w:tab/>
      </w:r>
      <w:r w:rsidRPr="009812E3">
        <w:rPr>
          <w:rFonts w:ascii="Arial" w:hAnsi="Arial" w:cs="Arial"/>
          <w:sz w:val="24"/>
          <w:szCs w:val="24"/>
        </w:rPr>
        <w:t>c.</w:t>
      </w:r>
      <w:r w:rsidRPr="009812E3">
        <w:rPr>
          <w:rFonts w:ascii="Arial" w:hAnsi="Arial" w:cs="Arial"/>
          <w:sz w:val="24"/>
          <w:szCs w:val="24"/>
        </w:rPr>
        <w:tab/>
      </w:r>
      <w:r w:rsidRPr="009812E3">
        <w:rPr>
          <w:rFonts w:ascii="Arial" w:eastAsia="Calibri" w:hAnsi="Arial" w:cs="Arial"/>
          <w:sz w:val="24"/>
          <w:szCs w:val="24"/>
        </w:rPr>
        <w:t>Extenuating Circumstances for WIOA Adult-Funded ITAs:</w:t>
      </w:r>
    </w:p>
    <w:p w14:paraId="7DD56A56" w14:textId="77777777" w:rsidR="00EA310B" w:rsidRDefault="0031228B" w:rsidP="009812E3">
      <w:pPr>
        <w:tabs>
          <w:tab w:val="left" w:pos="1170"/>
        </w:tabs>
        <w:ind w:left="2880"/>
        <w:rPr>
          <w:rFonts w:ascii="Arial" w:eastAsia="Calibri" w:hAnsi="Arial" w:cs="Arial"/>
          <w:sz w:val="24"/>
          <w:szCs w:val="24"/>
        </w:rPr>
      </w:pPr>
      <w:r w:rsidRPr="009812E3">
        <w:rPr>
          <w:rFonts w:ascii="Arial" w:eastAsia="Calibri" w:hAnsi="Arial" w:cs="Arial"/>
          <w:sz w:val="24"/>
          <w:szCs w:val="24"/>
        </w:rPr>
        <w:t xml:space="preserve">If a family income exceeds the "family self-sufficiency" standard, a participant may still receive an adult-funded ITA if extenuating circumstances exist.  When evaluating extenuating circumstances, the costs related to the economic hardship must be the responsibility of that person or for his or her legal dependent, spouse, or parent.  </w:t>
      </w:r>
    </w:p>
    <w:p w14:paraId="4D4FC67F" w14:textId="6D90C777" w:rsidR="00C016A5" w:rsidRPr="009812E3" w:rsidRDefault="0031228B" w:rsidP="00754EF6">
      <w:pPr>
        <w:tabs>
          <w:tab w:val="left" w:pos="1170"/>
        </w:tabs>
        <w:ind w:left="2880"/>
        <w:rPr>
          <w:rFonts w:ascii="Arial" w:eastAsia="Calibri" w:hAnsi="Arial" w:cs="Arial"/>
          <w:sz w:val="24"/>
          <w:szCs w:val="24"/>
        </w:rPr>
      </w:pPr>
      <w:r w:rsidRPr="009812E3">
        <w:rPr>
          <w:rFonts w:ascii="Arial" w:eastAsia="Calibri" w:hAnsi="Arial" w:cs="Arial"/>
          <w:sz w:val="24"/>
          <w:szCs w:val="24"/>
        </w:rPr>
        <w:t>Those costs must be ongoing and expected to cause a financial hardship for the duration of the ITA.</w:t>
      </w:r>
      <w:r w:rsidR="00C016A5" w:rsidRPr="009812E3">
        <w:rPr>
          <w:rFonts w:ascii="Arial" w:eastAsia="Calibri" w:hAnsi="Arial" w:cs="Arial"/>
          <w:sz w:val="24"/>
          <w:szCs w:val="24"/>
        </w:rPr>
        <w:t xml:space="preserve"> </w:t>
      </w:r>
    </w:p>
    <w:p w14:paraId="3C2875B8" w14:textId="77777777" w:rsidR="0031228B" w:rsidRPr="009812E3" w:rsidRDefault="0031228B" w:rsidP="0031228B">
      <w:pPr>
        <w:tabs>
          <w:tab w:val="left" w:pos="1170"/>
        </w:tabs>
        <w:ind w:left="2880"/>
        <w:rPr>
          <w:rFonts w:ascii="Arial" w:eastAsia="Calibri" w:hAnsi="Arial" w:cs="Arial"/>
          <w:sz w:val="24"/>
          <w:szCs w:val="24"/>
        </w:rPr>
      </w:pPr>
      <w:r w:rsidRPr="009812E3">
        <w:rPr>
          <w:rFonts w:ascii="Arial" w:eastAsia="Calibri" w:hAnsi="Arial" w:cs="Arial"/>
          <w:sz w:val="24"/>
          <w:szCs w:val="24"/>
        </w:rPr>
        <w:lastRenderedPageBreak/>
        <w:t>Economic hardships include, but are not limited to:</w:t>
      </w:r>
    </w:p>
    <w:p w14:paraId="7738F4A6" w14:textId="77777777" w:rsidR="0031228B" w:rsidRPr="009812E3" w:rsidRDefault="0031228B" w:rsidP="00F52A33">
      <w:pPr>
        <w:pStyle w:val="ListParagraph"/>
        <w:numPr>
          <w:ilvl w:val="0"/>
          <w:numId w:val="19"/>
        </w:numPr>
        <w:tabs>
          <w:tab w:val="left" w:pos="1170"/>
        </w:tabs>
        <w:spacing w:after="0" w:line="240" w:lineRule="auto"/>
        <w:rPr>
          <w:rFonts w:ascii="Arial" w:eastAsia="Calibri" w:hAnsi="Arial" w:cs="Arial"/>
          <w:sz w:val="24"/>
          <w:szCs w:val="24"/>
        </w:rPr>
      </w:pPr>
      <w:r w:rsidRPr="009812E3">
        <w:rPr>
          <w:rFonts w:ascii="Arial" w:eastAsia="Calibri" w:hAnsi="Arial" w:cs="Arial"/>
          <w:sz w:val="24"/>
          <w:szCs w:val="24"/>
        </w:rPr>
        <w:t>The portion of medical procedure or prescription medication costs that are not covered by insurance and are ongoing and determined to be medically essential;</w:t>
      </w:r>
    </w:p>
    <w:p w14:paraId="5F0E7838" w14:textId="27A0C8A3" w:rsidR="0031228B" w:rsidRPr="009812E3" w:rsidRDefault="0031228B" w:rsidP="003022B2">
      <w:pPr>
        <w:pStyle w:val="ListParagraph"/>
        <w:numPr>
          <w:ilvl w:val="0"/>
          <w:numId w:val="19"/>
        </w:numPr>
        <w:tabs>
          <w:tab w:val="left" w:pos="1170"/>
        </w:tabs>
        <w:spacing w:after="0" w:line="240" w:lineRule="auto"/>
        <w:rPr>
          <w:rFonts w:ascii="Arial" w:eastAsia="Calibri" w:hAnsi="Arial" w:cs="Arial"/>
          <w:sz w:val="24"/>
          <w:szCs w:val="24"/>
        </w:rPr>
      </w:pPr>
      <w:r w:rsidRPr="009812E3">
        <w:rPr>
          <w:rFonts w:ascii="Arial" w:eastAsia="Calibri" w:hAnsi="Arial" w:cs="Arial"/>
          <w:sz w:val="24"/>
          <w:szCs w:val="24"/>
        </w:rPr>
        <w:t>Health insurance prem</w:t>
      </w:r>
      <w:r w:rsidR="003022B2" w:rsidRPr="009812E3">
        <w:rPr>
          <w:rFonts w:ascii="Arial" w:eastAsia="Calibri" w:hAnsi="Arial" w:cs="Arial"/>
          <w:sz w:val="24"/>
          <w:szCs w:val="24"/>
        </w:rPr>
        <w:t xml:space="preserve">ium payments that are not paid </w:t>
      </w:r>
      <w:r w:rsidRPr="009812E3">
        <w:rPr>
          <w:rFonts w:ascii="Arial" w:eastAsia="Calibri" w:hAnsi="Arial" w:cs="Arial"/>
          <w:sz w:val="24"/>
          <w:szCs w:val="24"/>
        </w:rPr>
        <w:t xml:space="preserve">for by </w:t>
      </w:r>
      <w:r w:rsidR="006F2A47" w:rsidRPr="009812E3">
        <w:rPr>
          <w:rFonts w:ascii="Arial" w:eastAsia="Calibri" w:hAnsi="Arial" w:cs="Arial"/>
          <w:sz w:val="24"/>
          <w:szCs w:val="24"/>
        </w:rPr>
        <w:t>private or</w:t>
      </w:r>
      <w:r w:rsidRPr="009812E3">
        <w:rPr>
          <w:rFonts w:ascii="Arial" w:eastAsia="Calibri" w:hAnsi="Arial" w:cs="Arial"/>
          <w:sz w:val="24"/>
          <w:szCs w:val="24"/>
        </w:rPr>
        <w:t xml:space="preserve"> public sources</w:t>
      </w:r>
    </w:p>
    <w:p w14:paraId="4926D62F" w14:textId="59C164A0" w:rsidR="0031228B" w:rsidRPr="009812E3" w:rsidRDefault="0031228B" w:rsidP="003022B2">
      <w:pPr>
        <w:pStyle w:val="ListParagraph"/>
        <w:numPr>
          <w:ilvl w:val="0"/>
          <w:numId w:val="19"/>
        </w:numPr>
        <w:tabs>
          <w:tab w:val="left" w:pos="1170"/>
        </w:tabs>
        <w:spacing w:after="0" w:line="240" w:lineRule="auto"/>
        <w:rPr>
          <w:rFonts w:ascii="Arial" w:eastAsia="Calibri" w:hAnsi="Arial" w:cs="Arial"/>
          <w:sz w:val="24"/>
          <w:szCs w:val="24"/>
        </w:rPr>
      </w:pPr>
      <w:r w:rsidRPr="009812E3">
        <w:rPr>
          <w:rFonts w:ascii="Arial" w:eastAsia="Calibri" w:hAnsi="Arial" w:cs="Arial"/>
          <w:sz w:val="24"/>
          <w:szCs w:val="24"/>
        </w:rPr>
        <w:t xml:space="preserve">Payments on past due or back mortgage, rent, or essential services (e.g., </w:t>
      </w:r>
      <w:r w:rsidR="00B47FFD" w:rsidRPr="009812E3">
        <w:rPr>
          <w:rFonts w:ascii="Arial" w:eastAsia="Calibri" w:hAnsi="Arial" w:cs="Arial"/>
          <w:sz w:val="24"/>
          <w:szCs w:val="24"/>
        </w:rPr>
        <w:t>electricity</w:t>
      </w:r>
      <w:r w:rsidRPr="009812E3">
        <w:rPr>
          <w:rFonts w:ascii="Arial" w:eastAsia="Calibri" w:hAnsi="Arial" w:cs="Arial"/>
          <w:sz w:val="24"/>
          <w:szCs w:val="24"/>
        </w:rPr>
        <w:t>, water, natural gas, propane, and other utility arrearages) that accumulated because of involuntary unemployment or underemployment</w:t>
      </w:r>
    </w:p>
    <w:p w14:paraId="71F39ABE" w14:textId="77777777" w:rsidR="0031228B" w:rsidRPr="009812E3" w:rsidRDefault="0031228B" w:rsidP="003022B2">
      <w:pPr>
        <w:pStyle w:val="ListParagraph"/>
        <w:numPr>
          <w:ilvl w:val="0"/>
          <w:numId w:val="19"/>
        </w:numPr>
        <w:tabs>
          <w:tab w:val="left" w:pos="1170"/>
          <w:tab w:val="left" w:pos="2970"/>
        </w:tabs>
        <w:spacing w:after="0" w:line="240" w:lineRule="auto"/>
        <w:rPr>
          <w:rFonts w:ascii="Arial" w:eastAsia="Calibri" w:hAnsi="Arial" w:cs="Arial"/>
          <w:sz w:val="24"/>
          <w:szCs w:val="24"/>
        </w:rPr>
      </w:pPr>
      <w:r w:rsidRPr="009812E3">
        <w:rPr>
          <w:rFonts w:ascii="Arial" w:eastAsia="Calibri" w:hAnsi="Arial" w:cs="Arial"/>
          <w:sz w:val="24"/>
          <w:szCs w:val="24"/>
        </w:rPr>
        <w:t>Ongoing payments t</w:t>
      </w:r>
      <w:r w:rsidR="003022B2" w:rsidRPr="009812E3">
        <w:rPr>
          <w:rFonts w:ascii="Arial" w:eastAsia="Calibri" w:hAnsi="Arial" w:cs="Arial"/>
          <w:sz w:val="24"/>
          <w:szCs w:val="24"/>
        </w:rPr>
        <w:t xml:space="preserve">o a nursing home, home health </w:t>
      </w:r>
      <w:r w:rsidRPr="009812E3">
        <w:rPr>
          <w:rFonts w:ascii="Arial" w:eastAsia="Calibri" w:hAnsi="Arial" w:cs="Arial"/>
          <w:sz w:val="24"/>
          <w:szCs w:val="24"/>
        </w:rPr>
        <w:t>care provider, elder car</w:t>
      </w:r>
      <w:r w:rsidR="003022B2" w:rsidRPr="009812E3">
        <w:rPr>
          <w:rFonts w:ascii="Arial" w:eastAsia="Calibri" w:hAnsi="Arial" w:cs="Arial"/>
          <w:sz w:val="24"/>
          <w:szCs w:val="24"/>
        </w:rPr>
        <w:t xml:space="preserve">e provider, or assisted living </w:t>
      </w:r>
      <w:r w:rsidRPr="009812E3">
        <w:rPr>
          <w:rFonts w:ascii="Arial" w:eastAsia="Calibri" w:hAnsi="Arial" w:cs="Arial"/>
          <w:sz w:val="24"/>
          <w:szCs w:val="24"/>
        </w:rPr>
        <w:t>provider</w:t>
      </w:r>
    </w:p>
    <w:p w14:paraId="29846AC7" w14:textId="77777777" w:rsidR="0031228B" w:rsidRPr="009812E3" w:rsidRDefault="0031228B" w:rsidP="003022B2">
      <w:pPr>
        <w:pStyle w:val="ListParagraph"/>
        <w:numPr>
          <w:ilvl w:val="0"/>
          <w:numId w:val="19"/>
        </w:numPr>
        <w:tabs>
          <w:tab w:val="left" w:pos="1170"/>
        </w:tabs>
        <w:spacing w:after="0" w:line="240" w:lineRule="auto"/>
        <w:rPr>
          <w:rFonts w:ascii="Arial" w:eastAsia="Calibri" w:hAnsi="Arial" w:cs="Arial"/>
          <w:sz w:val="24"/>
          <w:szCs w:val="24"/>
        </w:rPr>
      </w:pPr>
      <w:r w:rsidRPr="009812E3">
        <w:rPr>
          <w:rFonts w:ascii="Arial" w:eastAsia="Calibri" w:hAnsi="Arial" w:cs="Arial"/>
          <w:sz w:val="24"/>
          <w:szCs w:val="24"/>
        </w:rPr>
        <w:t>Payments toward debt t</w:t>
      </w:r>
      <w:r w:rsidR="003022B2" w:rsidRPr="009812E3">
        <w:rPr>
          <w:rFonts w:ascii="Arial" w:eastAsia="Calibri" w:hAnsi="Arial" w:cs="Arial"/>
          <w:sz w:val="24"/>
          <w:szCs w:val="24"/>
        </w:rPr>
        <w:t xml:space="preserve">hat accumulated as a result of a natural disaster, </w:t>
      </w:r>
      <w:r w:rsidRPr="009812E3">
        <w:rPr>
          <w:rFonts w:ascii="Arial" w:eastAsia="Calibri" w:hAnsi="Arial" w:cs="Arial"/>
          <w:sz w:val="24"/>
          <w:szCs w:val="24"/>
        </w:rPr>
        <w:t>severe illness, or disability.</w:t>
      </w:r>
    </w:p>
    <w:p w14:paraId="58012298" w14:textId="77777777" w:rsidR="0031228B" w:rsidRPr="009812E3" w:rsidRDefault="0031228B" w:rsidP="0031228B">
      <w:pPr>
        <w:tabs>
          <w:tab w:val="left" w:pos="1170"/>
        </w:tabs>
        <w:ind w:left="2880"/>
        <w:rPr>
          <w:rFonts w:ascii="Arial" w:eastAsia="Calibri" w:hAnsi="Arial" w:cs="Arial"/>
          <w:sz w:val="24"/>
          <w:szCs w:val="24"/>
        </w:rPr>
      </w:pPr>
    </w:p>
    <w:p w14:paraId="3E98F3F1" w14:textId="77777777" w:rsidR="0031228B" w:rsidRPr="009812E3" w:rsidRDefault="0031228B" w:rsidP="00125F12">
      <w:pPr>
        <w:tabs>
          <w:tab w:val="left" w:pos="1170"/>
        </w:tabs>
        <w:ind w:left="2880"/>
        <w:rPr>
          <w:rFonts w:ascii="Arial" w:eastAsia="Calibri" w:hAnsi="Arial" w:cs="Arial"/>
          <w:sz w:val="24"/>
          <w:szCs w:val="24"/>
        </w:rPr>
      </w:pPr>
      <w:r w:rsidRPr="009812E3">
        <w:rPr>
          <w:rFonts w:ascii="Arial" w:eastAsia="Calibri" w:hAnsi="Arial" w:cs="Arial"/>
          <w:sz w:val="24"/>
          <w:szCs w:val="24"/>
        </w:rPr>
        <w:t xml:space="preserve">Extenuating circumstances do not include normal rent, mortgage, utility, court ordered child support, court-ordered spousal support, automobile, fuel, grocery, credit card, or "pay-day loan," payments. </w:t>
      </w:r>
    </w:p>
    <w:p w14:paraId="0CD32C69" w14:textId="4EB3AAB9" w:rsidR="0031228B" w:rsidRDefault="0031228B" w:rsidP="0031228B">
      <w:pPr>
        <w:tabs>
          <w:tab w:val="left" w:pos="1170"/>
        </w:tabs>
        <w:ind w:left="2880"/>
        <w:rPr>
          <w:rFonts w:ascii="Arial" w:eastAsia="Calibri" w:hAnsi="Arial" w:cs="Arial"/>
          <w:sz w:val="24"/>
          <w:szCs w:val="24"/>
        </w:rPr>
      </w:pPr>
      <w:r w:rsidRPr="009812E3">
        <w:rPr>
          <w:rFonts w:ascii="Arial" w:eastAsia="Calibri" w:hAnsi="Arial" w:cs="Arial"/>
          <w:sz w:val="24"/>
          <w:szCs w:val="24"/>
        </w:rPr>
        <w:t xml:space="preserve">Exceptions may be approved on a </w:t>
      </w:r>
      <w:r w:rsidR="009812E3" w:rsidRPr="009812E3">
        <w:rPr>
          <w:rFonts w:ascii="Arial" w:eastAsia="Calibri" w:hAnsi="Arial" w:cs="Arial"/>
          <w:sz w:val="24"/>
          <w:szCs w:val="24"/>
        </w:rPr>
        <w:t>case-by-case</w:t>
      </w:r>
      <w:r w:rsidRPr="009812E3">
        <w:rPr>
          <w:rFonts w:ascii="Arial" w:eastAsia="Calibri" w:hAnsi="Arial" w:cs="Arial"/>
          <w:sz w:val="24"/>
          <w:szCs w:val="24"/>
        </w:rPr>
        <w:t xml:space="preserve"> basis for individuals whose family income exceeds the family self-sufficiency standard.  Documentation explaining the extenuating circumstances must be maintained in the participant file, along with the signature approval of the local WDB Fiscal Agent and WDB Director or designee.</w:t>
      </w:r>
    </w:p>
    <w:p w14:paraId="62B5EB39" w14:textId="4D97511A" w:rsidR="00754EF6" w:rsidRPr="00754EF6" w:rsidRDefault="00754EF6" w:rsidP="00754EF6">
      <w:pPr>
        <w:tabs>
          <w:tab w:val="left" w:pos="1170"/>
        </w:tabs>
        <w:spacing w:after="0"/>
        <w:jc w:val="both"/>
        <w:rPr>
          <w:rFonts w:ascii="Arial" w:eastAsia="Calibri" w:hAnsi="Arial" w:cs="Arial"/>
          <w:sz w:val="24"/>
          <w:szCs w:val="24"/>
        </w:rPr>
      </w:pPr>
      <w:r>
        <w:rPr>
          <w:rFonts w:ascii="Arial" w:eastAsia="Calibri" w:hAnsi="Arial" w:cs="Arial"/>
          <w:sz w:val="24"/>
          <w:szCs w:val="24"/>
        </w:rPr>
        <w:t xml:space="preserve">          </w:t>
      </w:r>
      <w:r w:rsidRPr="00754EF6">
        <w:rPr>
          <w:rFonts w:ascii="Arial" w:eastAsia="Calibri" w:hAnsi="Arial" w:cs="Arial"/>
          <w:sz w:val="24"/>
          <w:szCs w:val="24"/>
        </w:rPr>
        <w:t>3.         Public Assistance recipients</w:t>
      </w:r>
      <w:r w:rsidR="006F2A47" w:rsidRPr="00754EF6">
        <w:rPr>
          <w:rFonts w:ascii="Arial" w:eastAsia="Calibri" w:hAnsi="Arial" w:cs="Arial"/>
          <w:sz w:val="24"/>
          <w:szCs w:val="24"/>
        </w:rPr>
        <w:t>: Consult</w:t>
      </w:r>
      <w:r w:rsidRPr="00754EF6">
        <w:rPr>
          <w:rFonts w:ascii="Arial" w:eastAsia="Calibri" w:hAnsi="Arial" w:cs="Arial"/>
          <w:sz w:val="24"/>
          <w:szCs w:val="24"/>
        </w:rPr>
        <w:t xml:space="preserve"> the ODJFS Allowable Source Documentation                </w:t>
      </w:r>
    </w:p>
    <w:p w14:paraId="5D42B210" w14:textId="32C17BB1" w:rsidR="00754EF6" w:rsidRPr="00A439B5" w:rsidRDefault="00754EF6" w:rsidP="00A439B5">
      <w:pPr>
        <w:tabs>
          <w:tab w:val="left" w:pos="1170"/>
        </w:tabs>
        <w:spacing w:after="0"/>
        <w:ind w:left="1440"/>
        <w:rPr>
          <w:rFonts w:ascii="Arial" w:eastAsia="Calibri" w:hAnsi="Arial" w:cs="Arial"/>
          <w:sz w:val="24"/>
          <w:szCs w:val="24"/>
        </w:rPr>
      </w:pPr>
      <w:r w:rsidRPr="00754EF6">
        <w:rPr>
          <w:rFonts w:ascii="Arial" w:eastAsia="Calibri" w:hAnsi="Arial" w:cs="Arial"/>
          <w:sz w:val="24"/>
          <w:szCs w:val="24"/>
        </w:rPr>
        <w:t xml:space="preserve"> </w:t>
      </w:r>
      <w:r w:rsidRPr="00B47FFD">
        <w:rPr>
          <w:rFonts w:ascii="Arial" w:eastAsia="Calibri" w:hAnsi="Arial" w:cs="Arial"/>
          <w:sz w:val="24"/>
          <w:szCs w:val="24"/>
        </w:rPr>
        <w:t>for WIOA Program Eligibility (WIOAPL 15-07</w:t>
      </w:r>
      <w:r w:rsidR="006F2A47" w:rsidRPr="00B47FFD">
        <w:rPr>
          <w:rFonts w:ascii="Arial" w:eastAsia="Calibri" w:hAnsi="Arial" w:cs="Arial"/>
          <w:sz w:val="24"/>
          <w:szCs w:val="24"/>
        </w:rPr>
        <w:t xml:space="preserve"> as revised</w:t>
      </w:r>
      <w:r w:rsidRPr="00B47FFD">
        <w:rPr>
          <w:rFonts w:ascii="Arial" w:eastAsia="Calibri" w:hAnsi="Arial" w:cs="Arial"/>
          <w:sz w:val="24"/>
          <w:szCs w:val="24"/>
        </w:rPr>
        <w:t xml:space="preserve">, Attachment A).  If the </w:t>
      </w:r>
      <w:r w:rsidR="006F2A47" w:rsidRPr="00B47FFD">
        <w:rPr>
          <w:rFonts w:ascii="Arial" w:eastAsia="Calibri" w:hAnsi="Arial" w:cs="Arial"/>
          <w:sz w:val="24"/>
          <w:szCs w:val="24"/>
        </w:rPr>
        <w:t xml:space="preserve">  </w:t>
      </w:r>
      <w:r w:rsidR="007C0775" w:rsidRPr="00B47FFD">
        <w:rPr>
          <w:rFonts w:ascii="Arial" w:eastAsia="Calibri" w:hAnsi="Arial" w:cs="Arial"/>
          <w:sz w:val="24"/>
          <w:szCs w:val="24"/>
        </w:rPr>
        <w:t>individual</w:t>
      </w:r>
      <w:r w:rsidR="006F2A47" w:rsidRPr="00B47FFD">
        <w:rPr>
          <w:rFonts w:ascii="Arial" w:eastAsia="Calibri" w:hAnsi="Arial" w:cs="Arial"/>
          <w:sz w:val="24"/>
          <w:szCs w:val="24"/>
        </w:rPr>
        <w:t xml:space="preserve"> </w:t>
      </w:r>
      <w:r w:rsidRPr="00B47FFD">
        <w:rPr>
          <w:rFonts w:ascii="Arial" w:eastAsia="Calibri" w:hAnsi="Arial" w:cs="Arial"/>
          <w:sz w:val="24"/>
          <w:szCs w:val="24"/>
        </w:rPr>
        <w:t>is part of a</w:t>
      </w:r>
      <w:r w:rsidR="007C0775" w:rsidRPr="00B47FFD">
        <w:rPr>
          <w:rFonts w:ascii="Arial" w:eastAsia="Calibri" w:hAnsi="Arial" w:cs="Arial"/>
          <w:sz w:val="24"/>
          <w:szCs w:val="24"/>
        </w:rPr>
        <w:t xml:space="preserve"> family</w:t>
      </w:r>
      <w:r w:rsidRPr="00B47FFD">
        <w:rPr>
          <w:rFonts w:ascii="Arial" w:eastAsia="Calibri" w:hAnsi="Arial" w:cs="Arial"/>
          <w:sz w:val="24"/>
          <w:szCs w:val="24"/>
        </w:rPr>
        <w:t xml:space="preserve"> receiving public assistance</w:t>
      </w:r>
      <w:r w:rsidR="007C0775" w:rsidRPr="00B47FFD">
        <w:rPr>
          <w:rFonts w:ascii="Arial" w:eastAsia="Calibri" w:hAnsi="Arial" w:cs="Arial"/>
          <w:sz w:val="24"/>
          <w:szCs w:val="24"/>
        </w:rPr>
        <w:t xml:space="preserve"> (SNAP</w:t>
      </w:r>
      <w:r w:rsidR="005B66E2" w:rsidRPr="00B47FFD">
        <w:rPr>
          <w:rFonts w:ascii="Arial" w:eastAsia="Calibri" w:hAnsi="Arial" w:cs="Arial"/>
          <w:sz w:val="24"/>
          <w:szCs w:val="24"/>
        </w:rPr>
        <w:t>,</w:t>
      </w:r>
      <w:r w:rsidR="00E2039C">
        <w:rPr>
          <w:rFonts w:ascii="Arial" w:eastAsia="Calibri" w:hAnsi="Arial" w:cs="Arial"/>
          <w:sz w:val="24"/>
          <w:szCs w:val="24"/>
        </w:rPr>
        <w:t xml:space="preserve"> </w:t>
      </w:r>
      <w:r w:rsidR="00E2039C" w:rsidRPr="00B47FFD">
        <w:rPr>
          <w:rFonts w:ascii="Arial" w:eastAsia="Calibri" w:hAnsi="Arial" w:cs="Arial"/>
          <w:sz w:val="24"/>
          <w:szCs w:val="24"/>
        </w:rPr>
        <w:t>SSI or</w:t>
      </w:r>
      <w:r w:rsidR="007C0775" w:rsidRPr="00B47FFD">
        <w:rPr>
          <w:rFonts w:ascii="Arial" w:eastAsia="Calibri" w:hAnsi="Arial" w:cs="Arial"/>
          <w:sz w:val="24"/>
          <w:szCs w:val="24"/>
        </w:rPr>
        <w:t xml:space="preserve"> OWF)</w:t>
      </w:r>
      <w:r w:rsidRPr="00B47FFD">
        <w:rPr>
          <w:rFonts w:ascii="Arial" w:eastAsia="Calibri" w:hAnsi="Arial" w:cs="Arial"/>
          <w:sz w:val="24"/>
          <w:szCs w:val="24"/>
        </w:rPr>
        <w:t>, he</w:t>
      </w:r>
      <w:r w:rsidRPr="00754EF6">
        <w:rPr>
          <w:rFonts w:ascii="Arial" w:eastAsia="Calibri" w:hAnsi="Arial" w:cs="Arial"/>
          <w:sz w:val="24"/>
          <w:szCs w:val="24"/>
        </w:rPr>
        <w:t xml:space="preserve">/she is considered to be a member of a </w:t>
      </w:r>
      <w:r w:rsidR="007C0775" w:rsidRPr="007C0775">
        <w:rPr>
          <w:rFonts w:ascii="Arial" w:eastAsia="Calibri" w:hAnsi="Arial" w:cs="Arial"/>
          <w:sz w:val="24"/>
          <w:szCs w:val="24"/>
        </w:rPr>
        <w:t>family</w:t>
      </w:r>
      <w:r w:rsidR="007C0775" w:rsidRPr="00754EF6">
        <w:rPr>
          <w:rFonts w:ascii="Arial" w:eastAsia="Calibri" w:hAnsi="Arial" w:cs="Arial"/>
          <w:sz w:val="24"/>
          <w:szCs w:val="24"/>
        </w:rPr>
        <w:t xml:space="preserve"> </w:t>
      </w:r>
      <w:r w:rsidR="007C0775">
        <w:rPr>
          <w:rFonts w:ascii="Arial" w:eastAsia="Calibri" w:hAnsi="Arial" w:cs="Arial"/>
          <w:sz w:val="24"/>
          <w:szCs w:val="24"/>
        </w:rPr>
        <w:t>who</w:t>
      </w:r>
      <w:r w:rsidRPr="00754EF6">
        <w:rPr>
          <w:rFonts w:ascii="Arial" w:eastAsia="Calibri" w:hAnsi="Arial" w:cs="Arial"/>
          <w:sz w:val="24"/>
          <w:szCs w:val="24"/>
        </w:rPr>
        <w:t xml:space="preserve"> is not self-sufficient</w:t>
      </w:r>
      <w:r w:rsidR="007C0775">
        <w:rPr>
          <w:rFonts w:ascii="Arial" w:eastAsia="Calibri" w:hAnsi="Arial" w:cs="Arial"/>
          <w:sz w:val="24"/>
          <w:szCs w:val="24"/>
        </w:rPr>
        <w:t>.</w:t>
      </w:r>
    </w:p>
    <w:p w14:paraId="1C5B730A" w14:textId="77777777" w:rsidR="0031228B" w:rsidRDefault="0031228B" w:rsidP="0031228B">
      <w:pPr>
        <w:pStyle w:val="Level1"/>
        <w:numPr>
          <w:ilvl w:val="0"/>
          <w:numId w:val="0"/>
        </w:numPr>
        <w:tabs>
          <w:tab w:val="left" w:pos="-1440"/>
        </w:tabs>
        <w:ind w:left="720" w:hanging="720"/>
        <w:rPr>
          <w:rFonts w:ascii="Arial" w:hAnsi="Arial" w:cs="Arial"/>
        </w:rPr>
      </w:pPr>
    </w:p>
    <w:p w14:paraId="7B5917A1" w14:textId="77777777" w:rsidR="0031228B" w:rsidRPr="002C4453" w:rsidRDefault="0031228B" w:rsidP="0031228B">
      <w:pPr>
        <w:pStyle w:val="Level1"/>
        <w:numPr>
          <w:ilvl w:val="0"/>
          <w:numId w:val="0"/>
        </w:numPr>
        <w:tabs>
          <w:tab w:val="left" w:pos="-1440"/>
        </w:tabs>
        <w:ind w:left="720" w:hanging="720"/>
        <w:rPr>
          <w:rFonts w:ascii="Arial" w:hAnsi="Arial" w:cs="Arial"/>
        </w:rPr>
      </w:pPr>
      <w:r>
        <w:rPr>
          <w:rFonts w:ascii="Arial" w:hAnsi="Arial" w:cs="Arial"/>
        </w:rPr>
        <w:tab/>
      </w:r>
      <w:r w:rsidRPr="002C4453">
        <w:rPr>
          <w:rFonts w:ascii="Arial" w:hAnsi="Arial" w:cs="Arial"/>
        </w:rPr>
        <w:t>B</w:t>
      </w:r>
      <w:proofErr w:type="gramStart"/>
      <w:r w:rsidRPr="002C4453">
        <w:rPr>
          <w:rFonts w:ascii="Arial" w:hAnsi="Arial" w:cs="Arial"/>
        </w:rPr>
        <w:t xml:space="preserve">. </w:t>
      </w:r>
      <w:r w:rsidRPr="002C4453">
        <w:rPr>
          <w:rFonts w:ascii="Arial" w:hAnsi="Arial" w:cs="Arial"/>
        </w:rPr>
        <w:tab/>
        <w:t>Out</w:t>
      </w:r>
      <w:proofErr w:type="gramEnd"/>
      <w:r w:rsidRPr="002C4453">
        <w:rPr>
          <w:rFonts w:ascii="Arial" w:hAnsi="Arial" w:cs="Arial"/>
        </w:rPr>
        <w:t xml:space="preserve"> of School Youth/Young Adults</w:t>
      </w:r>
    </w:p>
    <w:p w14:paraId="23EC62E4" w14:textId="77777777" w:rsidR="0031228B" w:rsidRPr="002C4453" w:rsidRDefault="0031228B" w:rsidP="0031228B">
      <w:pPr>
        <w:pStyle w:val="Level1"/>
        <w:numPr>
          <w:ilvl w:val="0"/>
          <w:numId w:val="0"/>
        </w:numPr>
        <w:tabs>
          <w:tab w:val="left" w:pos="-1440"/>
        </w:tabs>
        <w:ind w:left="720" w:hanging="720"/>
        <w:rPr>
          <w:rFonts w:ascii="Arial" w:hAnsi="Arial" w:cs="Arial"/>
        </w:rPr>
      </w:pPr>
    </w:p>
    <w:p w14:paraId="3E9A91C8" w14:textId="77777777" w:rsidR="0031228B" w:rsidRPr="002C4453" w:rsidRDefault="0031228B" w:rsidP="0031228B">
      <w:pPr>
        <w:pStyle w:val="Level1"/>
        <w:numPr>
          <w:ilvl w:val="0"/>
          <w:numId w:val="0"/>
        </w:numPr>
        <w:tabs>
          <w:tab w:val="left" w:pos="-1440"/>
        </w:tabs>
        <w:ind w:left="720" w:hanging="720"/>
        <w:rPr>
          <w:rFonts w:ascii="Arial" w:hAnsi="Arial" w:cs="Arial"/>
        </w:rPr>
      </w:pPr>
      <w:r w:rsidRPr="002C4453">
        <w:rPr>
          <w:rFonts w:ascii="Arial" w:hAnsi="Arial" w:cs="Arial"/>
        </w:rPr>
        <w:tab/>
      </w:r>
      <w:r w:rsidRPr="002C4453">
        <w:rPr>
          <w:rFonts w:ascii="Arial" w:hAnsi="Arial" w:cs="Arial"/>
        </w:rPr>
        <w:tab/>
      </w:r>
      <w:r w:rsidRPr="002C4453">
        <w:rPr>
          <w:rFonts w:ascii="Arial" w:hAnsi="Arial" w:cs="Arial"/>
        </w:rPr>
        <w:tab/>
      </w:r>
      <w:r w:rsidRPr="002C4453">
        <w:rPr>
          <w:rFonts w:ascii="Arial" w:hAnsi="Arial" w:cs="Arial"/>
        </w:rPr>
        <w:tab/>
        <w:t>Family Self-Sufficiency Determination</w:t>
      </w:r>
    </w:p>
    <w:p w14:paraId="4AD76E09" w14:textId="77777777" w:rsidR="0031228B" w:rsidRPr="002C4453" w:rsidRDefault="0031228B" w:rsidP="0031228B">
      <w:pPr>
        <w:pStyle w:val="Level1"/>
        <w:numPr>
          <w:ilvl w:val="0"/>
          <w:numId w:val="0"/>
        </w:numPr>
        <w:tabs>
          <w:tab w:val="left" w:pos="-1440"/>
        </w:tabs>
        <w:ind w:left="720" w:hanging="720"/>
        <w:rPr>
          <w:rFonts w:ascii="Arial" w:hAnsi="Arial" w:cs="Arial"/>
        </w:rPr>
      </w:pPr>
    </w:p>
    <w:p w14:paraId="45A53AF1" w14:textId="77777777" w:rsidR="0031228B" w:rsidRPr="002C4453" w:rsidRDefault="0031228B" w:rsidP="0031228B">
      <w:pPr>
        <w:pStyle w:val="Level1"/>
        <w:numPr>
          <w:ilvl w:val="0"/>
          <w:numId w:val="0"/>
        </w:numPr>
        <w:tabs>
          <w:tab w:val="left" w:pos="-1440"/>
        </w:tabs>
        <w:ind w:left="720" w:hanging="720"/>
        <w:rPr>
          <w:rFonts w:ascii="Arial" w:hAnsi="Arial" w:cs="Arial"/>
        </w:rPr>
      </w:pPr>
      <w:r w:rsidRPr="002C4453">
        <w:rPr>
          <w:rFonts w:ascii="Arial" w:hAnsi="Arial" w:cs="Arial"/>
        </w:rPr>
        <w:tab/>
      </w:r>
      <w:r w:rsidRPr="002C4453">
        <w:rPr>
          <w:rFonts w:ascii="Arial" w:hAnsi="Arial" w:cs="Arial"/>
        </w:rPr>
        <w:tab/>
      </w:r>
      <w:r w:rsidRPr="002C4453">
        <w:rPr>
          <w:rFonts w:ascii="Arial" w:hAnsi="Arial" w:cs="Arial"/>
        </w:rPr>
        <w:tab/>
      </w:r>
      <w:r w:rsidRPr="002C4453">
        <w:rPr>
          <w:rFonts w:ascii="Arial" w:hAnsi="Arial" w:cs="Arial"/>
        </w:rPr>
        <w:tab/>
        <w:t xml:space="preserve">For an out-of-school youth to access ITA funded training, </w:t>
      </w:r>
    </w:p>
    <w:p w14:paraId="6ED30A10" w14:textId="57FEAC18" w:rsidR="0031228B" w:rsidRPr="002C4453" w:rsidRDefault="0031228B" w:rsidP="0031228B">
      <w:pPr>
        <w:pStyle w:val="Level1"/>
        <w:numPr>
          <w:ilvl w:val="0"/>
          <w:numId w:val="0"/>
        </w:numPr>
        <w:tabs>
          <w:tab w:val="left" w:pos="-1440"/>
        </w:tabs>
        <w:ind w:left="720" w:hanging="720"/>
        <w:rPr>
          <w:rFonts w:ascii="Arial" w:hAnsi="Arial" w:cs="Arial"/>
        </w:rPr>
      </w:pPr>
      <w:r w:rsidRPr="002C4453">
        <w:rPr>
          <w:rFonts w:ascii="Arial" w:hAnsi="Arial" w:cs="Arial"/>
        </w:rPr>
        <w:tab/>
      </w:r>
      <w:r w:rsidRPr="002C4453">
        <w:rPr>
          <w:rFonts w:ascii="Arial" w:hAnsi="Arial" w:cs="Arial"/>
        </w:rPr>
        <w:tab/>
      </w:r>
      <w:r w:rsidRPr="002C4453">
        <w:rPr>
          <w:rFonts w:ascii="Arial" w:hAnsi="Arial" w:cs="Arial"/>
        </w:rPr>
        <w:tab/>
      </w:r>
      <w:r w:rsidRPr="002C4453">
        <w:rPr>
          <w:rFonts w:ascii="Arial" w:hAnsi="Arial" w:cs="Arial"/>
        </w:rPr>
        <w:tab/>
        <w:t xml:space="preserve">his/her family income must be below </w:t>
      </w:r>
      <w:r w:rsidR="006F2A47" w:rsidRPr="00B47FFD">
        <w:rPr>
          <w:rFonts w:ascii="Arial" w:hAnsi="Arial" w:cs="Arial"/>
        </w:rPr>
        <w:t>200%</w:t>
      </w:r>
      <w:r w:rsidR="006F2A47">
        <w:rPr>
          <w:rFonts w:ascii="Arial" w:hAnsi="Arial" w:cs="Arial"/>
        </w:rPr>
        <w:t xml:space="preserve"> </w:t>
      </w:r>
      <w:r w:rsidRPr="002C4453">
        <w:rPr>
          <w:rFonts w:ascii="Arial" w:hAnsi="Arial" w:cs="Arial"/>
        </w:rPr>
        <w:t xml:space="preserve">of the poverty </w:t>
      </w:r>
    </w:p>
    <w:p w14:paraId="3135F1D6" w14:textId="77777777" w:rsidR="0031228B" w:rsidRPr="002C4453" w:rsidRDefault="0031228B" w:rsidP="0031228B">
      <w:pPr>
        <w:pStyle w:val="Level1"/>
        <w:numPr>
          <w:ilvl w:val="0"/>
          <w:numId w:val="0"/>
        </w:numPr>
        <w:tabs>
          <w:tab w:val="left" w:pos="-1440"/>
        </w:tabs>
        <w:ind w:left="720" w:hanging="720"/>
        <w:rPr>
          <w:rFonts w:ascii="Arial" w:hAnsi="Arial" w:cs="Arial"/>
        </w:rPr>
      </w:pPr>
      <w:r w:rsidRPr="002C4453">
        <w:rPr>
          <w:rFonts w:ascii="Arial" w:hAnsi="Arial" w:cs="Arial"/>
        </w:rPr>
        <w:tab/>
      </w:r>
      <w:r w:rsidRPr="002C4453">
        <w:rPr>
          <w:rFonts w:ascii="Arial" w:hAnsi="Arial" w:cs="Arial"/>
        </w:rPr>
        <w:tab/>
      </w:r>
      <w:r w:rsidRPr="002C4453">
        <w:rPr>
          <w:rFonts w:ascii="Arial" w:hAnsi="Arial" w:cs="Arial"/>
        </w:rPr>
        <w:tab/>
      </w:r>
      <w:r w:rsidRPr="002C4453">
        <w:rPr>
          <w:rFonts w:ascii="Arial" w:hAnsi="Arial" w:cs="Arial"/>
        </w:rPr>
        <w:tab/>
        <w:t>level based on family size.</w:t>
      </w:r>
    </w:p>
    <w:p w14:paraId="7D8B797A" w14:textId="77777777" w:rsidR="0031228B" w:rsidRPr="002C4453" w:rsidRDefault="0031228B" w:rsidP="0031228B">
      <w:pPr>
        <w:pStyle w:val="Level1"/>
        <w:numPr>
          <w:ilvl w:val="0"/>
          <w:numId w:val="0"/>
        </w:numPr>
        <w:tabs>
          <w:tab w:val="left" w:pos="-1440"/>
        </w:tabs>
        <w:ind w:left="720" w:hanging="720"/>
        <w:rPr>
          <w:rFonts w:ascii="Arial" w:hAnsi="Arial" w:cs="Arial"/>
        </w:rPr>
      </w:pPr>
    </w:p>
    <w:p w14:paraId="6AC03C3F" w14:textId="6486BB51" w:rsidR="0031228B" w:rsidRPr="00F52CAE" w:rsidRDefault="0031228B" w:rsidP="0031228B">
      <w:pPr>
        <w:ind w:left="2880"/>
        <w:rPr>
          <w:rFonts w:ascii="Arial" w:eastAsia="Calibri" w:hAnsi="Arial" w:cs="Arial"/>
          <w:sz w:val="24"/>
          <w:szCs w:val="24"/>
        </w:rPr>
      </w:pPr>
      <w:r w:rsidRPr="00F52CAE">
        <w:rPr>
          <w:rFonts w:ascii="Arial" w:eastAsia="Calibri" w:hAnsi="Arial" w:cs="Arial"/>
          <w:sz w:val="24"/>
          <w:szCs w:val="24"/>
        </w:rPr>
        <w:t>Additionally, all young adults, ages 18-24, who are seeking WIOA adult-funded ITAs, must also be screened for dependency status.  If an adult, ages 18-24, is determined to be dependent, "family self-sufficiency" would include the income(s) of all family members, including the young adult's parent(s).  If determined not to be a dependent then family self-sufficiency would be determined as a family of one.</w:t>
      </w:r>
    </w:p>
    <w:p w14:paraId="0E488105" w14:textId="77777777" w:rsidR="00F52CAE" w:rsidRDefault="00F52CAE" w:rsidP="0031228B">
      <w:pPr>
        <w:pStyle w:val="Level1"/>
        <w:numPr>
          <w:ilvl w:val="0"/>
          <w:numId w:val="0"/>
        </w:numPr>
        <w:tabs>
          <w:tab w:val="left" w:pos="-1440"/>
        </w:tabs>
        <w:rPr>
          <w:rFonts w:ascii="Arial" w:hAnsi="Arial" w:cs="Arial"/>
          <w:b/>
        </w:rPr>
      </w:pPr>
    </w:p>
    <w:p w14:paraId="468380AF" w14:textId="77777777" w:rsidR="0031228B" w:rsidRPr="00FA0EAD" w:rsidRDefault="0031228B" w:rsidP="0031228B">
      <w:pPr>
        <w:pStyle w:val="Level1"/>
        <w:numPr>
          <w:ilvl w:val="0"/>
          <w:numId w:val="0"/>
        </w:numPr>
        <w:tabs>
          <w:tab w:val="left" w:pos="-1440"/>
        </w:tabs>
        <w:ind w:left="720"/>
        <w:rPr>
          <w:rFonts w:ascii="Arial" w:hAnsi="Arial" w:cs="Arial"/>
        </w:rPr>
      </w:pPr>
      <w:r w:rsidRPr="002C4453">
        <w:rPr>
          <w:rFonts w:ascii="Arial" w:hAnsi="Arial" w:cs="Arial"/>
        </w:rPr>
        <w:t>C.</w:t>
      </w:r>
      <w:r w:rsidRPr="002C4453">
        <w:rPr>
          <w:rFonts w:ascii="Arial" w:hAnsi="Arial" w:cs="Arial"/>
        </w:rPr>
        <w:tab/>
        <w:t>Dislocated Workers:</w:t>
      </w:r>
    </w:p>
    <w:p w14:paraId="39B785F9" w14:textId="77777777" w:rsidR="0031228B" w:rsidRPr="004C2337" w:rsidRDefault="0031228B" w:rsidP="0031228B">
      <w:pPr>
        <w:rPr>
          <w:rFonts w:ascii="Arial" w:hAnsi="Arial" w:cs="Arial"/>
        </w:rPr>
      </w:pPr>
    </w:p>
    <w:p w14:paraId="509B632B" w14:textId="77777777" w:rsidR="0031228B" w:rsidRPr="003022B2" w:rsidRDefault="003022B2" w:rsidP="003022B2">
      <w:pPr>
        <w:tabs>
          <w:tab w:val="left" w:pos="0"/>
        </w:tabs>
        <w:ind w:left="2070"/>
        <w:rPr>
          <w:rFonts w:ascii="Arial" w:hAnsi="Arial" w:cs="Arial"/>
        </w:rPr>
      </w:pPr>
      <w:r w:rsidRPr="003022B2">
        <w:rPr>
          <w:rFonts w:ascii="Arial" w:hAnsi="Arial" w:cs="Arial"/>
        </w:rPr>
        <w:t xml:space="preserve">1. </w:t>
      </w:r>
      <w:r w:rsidR="0031228B" w:rsidRPr="003022B2">
        <w:rPr>
          <w:rFonts w:ascii="Arial" w:hAnsi="Arial" w:cs="Arial"/>
        </w:rPr>
        <w:t xml:space="preserve">For working dislocated workers, determination of self-sufficiency status requires a </w:t>
      </w:r>
      <w:r>
        <w:rPr>
          <w:rFonts w:ascii="Arial" w:hAnsi="Arial" w:cs="Arial"/>
        </w:rPr>
        <w:t xml:space="preserve">  </w:t>
      </w:r>
      <w:r w:rsidR="0031228B" w:rsidRPr="003022B2">
        <w:rPr>
          <w:rFonts w:ascii="Arial" w:hAnsi="Arial" w:cs="Arial"/>
        </w:rPr>
        <w:t>two-</w:t>
      </w:r>
      <w:r w:rsidRPr="003022B2">
        <w:rPr>
          <w:rFonts w:ascii="Arial" w:hAnsi="Arial" w:cs="Arial"/>
        </w:rPr>
        <w:t xml:space="preserve"> step </w:t>
      </w:r>
      <w:r>
        <w:rPr>
          <w:rFonts w:ascii="Arial" w:hAnsi="Arial" w:cs="Arial"/>
        </w:rPr>
        <w:t>assessment</w:t>
      </w:r>
      <w:r w:rsidR="0031228B" w:rsidRPr="003022B2">
        <w:rPr>
          <w:rFonts w:ascii="Arial" w:hAnsi="Arial" w:cs="Arial"/>
        </w:rPr>
        <w:t xml:space="preserve"> of the worker’s employment:</w:t>
      </w:r>
    </w:p>
    <w:p w14:paraId="74384DEC" w14:textId="77777777" w:rsidR="0031228B" w:rsidRDefault="0031228B" w:rsidP="0031228B">
      <w:pPr>
        <w:pStyle w:val="ListParagraph"/>
        <w:tabs>
          <w:tab w:val="left" w:pos="0"/>
        </w:tabs>
        <w:rPr>
          <w:rFonts w:ascii="Arial" w:hAnsi="Arial" w:cs="Arial"/>
        </w:rPr>
      </w:pPr>
    </w:p>
    <w:p w14:paraId="2F1246C1" w14:textId="77777777" w:rsidR="0031228B" w:rsidRDefault="0031228B" w:rsidP="0031228B">
      <w:pPr>
        <w:pStyle w:val="ListParagraph"/>
        <w:tabs>
          <w:tab w:val="left" w:pos="0"/>
        </w:tabs>
        <w:ind w:left="1440"/>
        <w:rPr>
          <w:rFonts w:ascii="Arial" w:hAnsi="Arial" w:cs="Arial"/>
        </w:rPr>
      </w:pPr>
      <w:r>
        <w:rPr>
          <w:rFonts w:ascii="Arial" w:hAnsi="Arial" w:cs="Arial"/>
        </w:rPr>
        <w:tab/>
        <w:t>a.</w:t>
      </w:r>
      <w:r>
        <w:rPr>
          <w:rFonts w:ascii="Arial" w:hAnsi="Arial" w:cs="Arial"/>
        </w:rPr>
        <w:tab/>
        <w:t>Determine if the employment is “interim employment.”</w:t>
      </w:r>
    </w:p>
    <w:p w14:paraId="6B3122DE" w14:textId="6584720F" w:rsidR="0031228B" w:rsidRDefault="0031228B" w:rsidP="0031228B">
      <w:pPr>
        <w:pStyle w:val="ListParagraph"/>
        <w:tabs>
          <w:tab w:val="left" w:pos="0"/>
        </w:tabs>
        <w:ind w:left="2880" w:hanging="720"/>
        <w:rPr>
          <w:rFonts w:ascii="Arial" w:hAnsi="Arial" w:cs="Arial"/>
        </w:rPr>
      </w:pPr>
      <w:r>
        <w:rPr>
          <w:rFonts w:ascii="Arial" w:hAnsi="Arial" w:cs="Arial"/>
        </w:rPr>
        <w:t>b.</w:t>
      </w:r>
      <w:r>
        <w:rPr>
          <w:rFonts w:ascii="Arial" w:hAnsi="Arial" w:cs="Arial"/>
        </w:rPr>
        <w:tab/>
        <w:t xml:space="preserve">If the employment is not “interim,” determine if the wage is at least </w:t>
      </w:r>
      <w:r w:rsidR="006F2A47" w:rsidRPr="00B47FFD">
        <w:rPr>
          <w:rFonts w:ascii="Arial" w:hAnsi="Arial" w:cs="Arial"/>
        </w:rPr>
        <w:t>200%</w:t>
      </w:r>
      <w:r>
        <w:rPr>
          <w:rFonts w:ascii="Arial" w:hAnsi="Arial" w:cs="Arial"/>
        </w:rPr>
        <w:t xml:space="preserve"> of the poverty level or if the hourly wage is comparable to or higher than wages from previous employment.</w:t>
      </w:r>
    </w:p>
    <w:p w14:paraId="3D33E88D" w14:textId="77777777" w:rsidR="003022B2" w:rsidRDefault="003022B2" w:rsidP="0031228B">
      <w:pPr>
        <w:pStyle w:val="ListParagraph"/>
        <w:tabs>
          <w:tab w:val="left" w:pos="0"/>
        </w:tabs>
        <w:ind w:left="1440"/>
        <w:rPr>
          <w:rFonts w:ascii="Arial" w:hAnsi="Arial" w:cs="Arial"/>
        </w:rPr>
      </w:pPr>
    </w:p>
    <w:p w14:paraId="0B6D47A3" w14:textId="77777777" w:rsidR="003022B2" w:rsidRDefault="003022B2" w:rsidP="0031228B">
      <w:pPr>
        <w:pStyle w:val="ListParagraph"/>
        <w:tabs>
          <w:tab w:val="left" w:pos="0"/>
        </w:tabs>
        <w:ind w:left="1440"/>
        <w:rPr>
          <w:rFonts w:ascii="Arial" w:hAnsi="Arial" w:cs="Arial"/>
        </w:rPr>
      </w:pPr>
    </w:p>
    <w:p w14:paraId="7A61E698" w14:textId="5ACA17A6" w:rsidR="0031228B" w:rsidRDefault="0031228B" w:rsidP="0031228B">
      <w:pPr>
        <w:pStyle w:val="ListParagraph"/>
        <w:tabs>
          <w:tab w:val="left" w:pos="0"/>
        </w:tabs>
        <w:ind w:left="2160"/>
        <w:rPr>
          <w:rFonts w:ascii="Arial" w:hAnsi="Arial" w:cs="Arial"/>
        </w:rPr>
      </w:pPr>
      <w:r>
        <w:rPr>
          <w:rFonts w:ascii="Arial" w:hAnsi="Arial" w:cs="Arial"/>
        </w:rPr>
        <w:t xml:space="preserve">It should be noted that workers who have received notice of </w:t>
      </w:r>
      <w:r w:rsidR="00B47FFD">
        <w:rPr>
          <w:rFonts w:ascii="Arial" w:hAnsi="Arial" w:cs="Arial"/>
        </w:rPr>
        <w:t>layoffs</w:t>
      </w:r>
      <w:r w:rsidR="006F2A47">
        <w:rPr>
          <w:rFonts w:ascii="Arial" w:hAnsi="Arial" w:cs="Arial"/>
        </w:rPr>
        <w:t xml:space="preserve"> but</w:t>
      </w:r>
      <w:r>
        <w:rPr>
          <w:rFonts w:ascii="Arial" w:hAnsi="Arial" w:cs="Arial"/>
        </w:rPr>
        <w:t xml:space="preserve"> have not yet been laid off and who do not have any other sources of employment are not subject to review of self-sufficiency.</w:t>
      </w:r>
    </w:p>
    <w:p w14:paraId="18D83FC5" w14:textId="77777777" w:rsidR="0031228B" w:rsidRDefault="0031228B" w:rsidP="0031228B">
      <w:pPr>
        <w:pStyle w:val="ListParagraph"/>
        <w:tabs>
          <w:tab w:val="left" w:pos="0"/>
        </w:tabs>
        <w:ind w:left="1440"/>
        <w:rPr>
          <w:rFonts w:ascii="Arial" w:hAnsi="Arial" w:cs="Arial"/>
        </w:rPr>
      </w:pPr>
    </w:p>
    <w:p w14:paraId="3B13276F" w14:textId="77777777" w:rsidR="0031228B" w:rsidRDefault="0031228B" w:rsidP="0031228B">
      <w:pPr>
        <w:pStyle w:val="ListParagraph"/>
        <w:tabs>
          <w:tab w:val="left" w:pos="0"/>
        </w:tabs>
        <w:rPr>
          <w:rFonts w:ascii="Arial" w:hAnsi="Arial" w:cs="Arial"/>
        </w:rPr>
      </w:pPr>
      <w:r>
        <w:rPr>
          <w:rFonts w:ascii="Arial" w:hAnsi="Arial" w:cs="Arial"/>
        </w:rPr>
        <w:tab/>
        <w:t>2.</w:t>
      </w:r>
      <w:r>
        <w:rPr>
          <w:rFonts w:ascii="Arial" w:hAnsi="Arial" w:cs="Arial"/>
        </w:rPr>
        <w:tab/>
      </w:r>
      <w:r w:rsidRPr="00FA0EAD">
        <w:rPr>
          <w:rFonts w:ascii="Arial" w:hAnsi="Arial" w:cs="Arial"/>
        </w:rPr>
        <w:t>Interim Employment for Dislocated Workers</w:t>
      </w:r>
    </w:p>
    <w:p w14:paraId="68DC9002" w14:textId="77777777" w:rsidR="0031228B" w:rsidRPr="00FA0EAD" w:rsidRDefault="0031228B" w:rsidP="0031228B">
      <w:pPr>
        <w:pStyle w:val="ListParagraph"/>
        <w:tabs>
          <w:tab w:val="left" w:pos="0"/>
        </w:tabs>
        <w:rPr>
          <w:rFonts w:ascii="Arial" w:hAnsi="Arial" w:cs="Arial"/>
        </w:rPr>
      </w:pPr>
    </w:p>
    <w:p w14:paraId="708D8FE4" w14:textId="1D0754E9" w:rsidR="0031228B" w:rsidRDefault="0031228B" w:rsidP="00125F12">
      <w:pPr>
        <w:ind w:left="2880" w:hanging="720"/>
        <w:rPr>
          <w:rFonts w:ascii="Arial" w:eastAsia="Calibri" w:hAnsi="Arial" w:cs="Arial"/>
        </w:rPr>
      </w:pPr>
      <w:r>
        <w:rPr>
          <w:rFonts w:ascii="Arial" w:eastAsia="Calibri" w:hAnsi="Arial" w:cs="Arial"/>
        </w:rPr>
        <w:t>a.</w:t>
      </w:r>
      <w:r>
        <w:rPr>
          <w:rFonts w:ascii="Arial" w:eastAsia="Calibri" w:hAnsi="Arial" w:cs="Arial"/>
        </w:rPr>
        <w:tab/>
        <w:t xml:space="preserve">Typically, employment is considered to be interim if the salary is below the salary of the dislocated worker’s primary occupation and/or if the dislocated worker is working under the skill level of his or her customary occupation.  There may be circumstances where interim employment does provide a sufficient wage temporarily but is not considered permanent employment that leads to self-sufficiency (e.g., working through a temporary agency).  The determination about whether or not a dislocated worker’s employment is interim employment must be made on a </w:t>
      </w:r>
      <w:r w:rsidR="00F52CAE">
        <w:rPr>
          <w:rFonts w:ascii="Arial" w:eastAsia="Calibri" w:hAnsi="Arial" w:cs="Arial"/>
        </w:rPr>
        <w:t>case-by-case</w:t>
      </w:r>
      <w:r>
        <w:rPr>
          <w:rFonts w:ascii="Arial" w:eastAsia="Calibri" w:hAnsi="Arial" w:cs="Arial"/>
        </w:rPr>
        <w:t xml:space="preserve"> basis and take into consideration dislocated worker’s personal, family, financial, and employment situation.  </w:t>
      </w:r>
    </w:p>
    <w:p w14:paraId="01D5FEA4" w14:textId="77777777" w:rsidR="0031228B" w:rsidRDefault="0031228B" w:rsidP="00125F12">
      <w:pPr>
        <w:ind w:left="2880" w:hanging="720"/>
        <w:rPr>
          <w:rFonts w:ascii="Arial" w:eastAsia="Calibri" w:hAnsi="Arial" w:cs="Arial"/>
        </w:rPr>
      </w:pPr>
      <w:r>
        <w:rPr>
          <w:rFonts w:ascii="Arial" w:eastAsia="Calibri" w:hAnsi="Arial" w:cs="Arial"/>
        </w:rPr>
        <w:t>b.</w:t>
      </w:r>
      <w:r>
        <w:rPr>
          <w:rFonts w:ascii="Arial" w:eastAsia="Calibri" w:hAnsi="Arial" w:cs="Arial"/>
        </w:rPr>
        <w:tab/>
        <w:t>A dislocated worker who is in interim employment is not considered to be self-sufficient even if the hourly wage exceeds the lower living standard income or if the hourly wage is comparable to or higher than the wages from previous employment.</w:t>
      </w:r>
    </w:p>
    <w:p w14:paraId="099680C5" w14:textId="4A25E35A" w:rsidR="0031228B" w:rsidRDefault="0031228B" w:rsidP="0031228B">
      <w:pPr>
        <w:ind w:left="2880" w:hanging="720"/>
        <w:rPr>
          <w:rFonts w:ascii="Arial" w:eastAsia="Calibri" w:hAnsi="Arial" w:cs="Arial"/>
        </w:rPr>
      </w:pPr>
      <w:r>
        <w:rPr>
          <w:rFonts w:ascii="Arial" w:eastAsia="Calibri" w:hAnsi="Arial" w:cs="Arial"/>
        </w:rPr>
        <w:t>c.</w:t>
      </w:r>
      <w:r>
        <w:rPr>
          <w:rFonts w:ascii="Arial" w:eastAsia="Calibri" w:hAnsi="Arial" w:cs="Arial"/>
        </w:rPr>
        <w:tab/>
        <w:t xml:space="preserve">If a dislocated worker has interim employment, this participant is considered to be unemployed at participation and information should be entered into the </w:t>
      </w:r>
      <w:r w:rsidR="006F2A47" w:rsidRPr="00B47FFD">
        <w:rPr>
          <w:rFonts w:ascii="Arial" w:eastAsia="Calibri" w:hAnsi="Arial" w:cs="Arial"/>
        </w:rPr>
        <w:t>Advancement through Resources, Information and Employment Services (ARIES)</w:t>
      </w:r>
      <w:r w:rsidR="00F52CAE" w:rsidRPr="00B47FFD">
        <w:rPr>
          <w:rFonts w:ascii="Arial" w:eastAsia="Calibri" w:hAnsi="Arial" w:cs="Arial"/>
        </w:rPr>
        <w:t xml:space="preserve"> system</w:t>
      </w:r>
      <w:r w:rsidR="00B47FFD">
        <w:rPr>
          <w:rFonts w:ascii="Arial" w:eastAsia="Calibri" w:hAnsi="Arial" w:cs="Arial"/>
          <w:i/>
          <w:iCs/>
        </w:rPr>
        <w:t>.</w:t>
      </w:r>
    </w:p>
    <w:p w14:paraId="6DD6B8F8" w14:textId="77777777" w:rsidR="0031228B" w:rsidRPr="00125F12" w:rsidRDefault="0031228B" w:rsidP="00125F12">
      <w:pPr>
        <w:tabs>
          <w:tab w:val="left" w:pos="0"/>
        </w:tabs>
        <w:rPr>
          <w:rFonts w:ascii="Arial" w:hAnsi="Arial" w:cs="Arial"/>
        </w:rPr>
      </w:pPr>
    </w:p>
    <w:p w14:paraId="6182E3CA" w14:textId="77777777" w:rsidR="0031228B" w:rsidRDefault="0031228B" w:rsidP="0031228B">
      <w:pPr>
        <w:pStyle w:val="ListParagraph"/>
        <w:tabs>
          <w:tab w:val="left" w:pos="0"/>
        </w:tabs>
        <w:rPr>
          <w:rFonts w:ascii="Arial" w:hAnsi="Arial" w:cs="Arial"/>
        </w:rPr>
      </w:pPr>
      <w:r w:rsidRPr="00FA0EAD">
        <w:rPr>
          <w:rFonts w:ascii="Arial" w:hAnsi="Arial" w:cs="Arial"/>
        </w:rPr>
        <w:t>3.</w:t>
      </w:r>
      <w:r w:rsidRPr="00FA0EAD">
        <w:rPr>
          <w:rFonts w:ascii="Arial" w:hAnsi="Arial" w:cs="Arial"/>
        </w:rPr>
        <w:tab/>
        <w:t>Wage Standard for Non-Interim Employment for Dislocated Workers</w:t>
      </w:r>
      <w:r>
        <w:rPr>
          <w:rFonts w:ascii="Arial" w:hAnsi="Arial" w:cs="Arial"/>
        </w:rPr>
        <w:t>:</w:t>
      </w:r>
    </w:p>
    <w:p w14:paraId="7569A80D" w14:textId="77777777" w:rsidR="0031228B" w:rsidRPr="00FA0EAD" w:rsidRDefault="0031228B" w:rsidP="0031228B">
      <w:pPr>
        <w:pStyle w:val="ListParagraph"/>
        <w:tabs>
          <w:tab w:val="left" w:pos="0"/>
        </w:tabs>
        <w:rPr>
          <w:rFonts w:ascii="Arial" w:hAnsi="Arial" w:cs="Arial"/>
        </w:rPr>
      </w:pPr>
    </w:p>
    <w:p w14:paraId="7160FB99" w14:textId="6BBF172A" w:rsidR="0031228B" w:rsidRDefault="0031228B" w:rsidP="0031228B">
      <w:pPr>
        <w:tabs>
          <w:tab w:val="left" w:pos="1080"/>
          <w:tab w:val="left" w:pos="2160"/>
        </w:tabs>
        <w:ind w:left="2880" w:hanging="2160"/>
        <w:rPr>
          <w:rFonts w:ascii="Arial" w:eastAsia="Calibri" w:hAnsi="Arial" w:cs="Arial"/>
        </w:rPr>
      </w:pPr>
      <w:r>
        <w:rPr>
          <w:rFonts w:ascii="Arial" w:eastAsia="Calibri" w:hAnsi="Arial" w:cs="Arial"/>
        </w:rPr>
        <w:tab/>
      </w:r>
      <w:r>
        <w:rPr>
          <w:rFonts w:ascii="Arial" w:eastAsia="Calibri" w:hAnsi="Arial" w:cs="Arial"/>
        </w:rPr>
        <w:tab/>
        <w:t>a.</w:t>
      </w:r>
      <w:r>
        <w:rPr>
          <w:rFonts w:ascii="Arial" w:eastAsia="Calibri" w:hAnsi="Arial" w:cs="Arial"/>
        </w:rPr>
        <w:tab/>
        <w:t>Employed dislocated workers whose wages are over</w:t>
      </w:r>
      <w:r w:rsidR="00DA1F26">
        <w:rPr>
          <w:rFonts w:ascii="Arial" w:eastAsia="Calibri" w:hAnsi="Arial" w:cs="Arial"/>
        </w:rPr>
        <w:t xml:space="preserve"> </w:t>
      </w:r>
      <w:r w:rsidR="006F2A47" w:rsidRPr="00B47FFD">
        <w:rPr>
          <w:rFonts w:ascii="Arial" w:eastAsia="Calibri" w:hAnsi="Arial" w:cs="Arial"/>
        </w:rPr>
        <w:t>200%</w:t>
      </w:r>
      <w:r w:rsidRPr="00F52CAE">
        <w:rPr>
          <w:rFonts w:ascii="Arial" w:eastAsia="Calibri" w:hAnsi="Arial" w:cs="Arial"/>
          <w:i/>
          <w:iCs/>
        </w:rPr>
        <w:t xml:space="preserve"> </w:t>
      </w:r>
      <w:r>
        <w:rPr>
          <w:rFonts w:ascii="Arial" w:eastAsia="Calibri" w:hAnsi="Arial" w:cs="Arial"/>
        </w:rPr>
        <w:t xml:space="preserve">of the poverty level </w:t>
      </w:r>
      <w:r w:rsidRPr="00791A83">
        <w:rPr>
          <w:rFonts w:ascii="Arial" w:eastAsia="Calibri" w:hAnsi="Arial" w:cs="Arial"/>
        </w:rPr>
        <w:t xml:space="preserve">or </w:t>
      </w:r>
      <w:r w:rsidRPr="00791A83">
        <w:rPr>
          <w:rStyle w:val="Strong"/>
          <w:rFonts w:ascii="Arial" w:hAnsi="Arial" w:cs="Arial"/>
          <w:b w:val="0"/>
        </w:rPr>
        <w:t xml:space="preserve">comparable or higher than the wages from previous employment </w:t>
      </w:r>
      <w:r w:rsidRPr="00791A83">
        <w:rPr>
          <w:rFonts w:ascii="Arial" w:eastAsia="Calibri" w:hAnsi="Arial" w:cs="Arial"/>
        </w:rPr>
        <w:t>are considered to be</w:t>
      </w:r>
      <w:r>
        <w:rPr>
          <w:rFonts w:ascii="Arial" w:eastAsia="Calibri" w:hAnsi="Arial" w:cs="Arial"/>
        </w:rPr>
        <w:t xml:space="preserve"> “self-sufficient,” unless the employment is considered to be “interim employment.”  Dislocated workers who are determined to be “self-sufficient” may receive career services only.</w:t>
      </w:r>
    </w:p>
    <w:p w14:paraId="30A1069B" w14:textId="77777777" w:rsidR="0031228B" w:rsidRDefault="0031228B" w:rsidP="0031228B">
      <w:pPr>
        <w:tabs>
          <w:tab w:val="left" w:pos="720"/>
        </w:tabs>
        <w:ind w:left="720"/>
        <w:rPr>
          <w:rFonts w:ascii="Arial" w:eastAsia="Calibri" w:hAnsi="Arial" w:cs="Arial"/>
        </w:rPr>
      </w:pPr>
    </w:p>
    <w:p w14:paraId="5C23FBEC" w14:textId="3D513D52" w:rsidR="009C5771" w:rsidRPr="009C5771" w:rsidRDefault="0031228B" w:rsidP="00F52CAE">
      <w:pPr>
        <w:ind w:left="720"/>
        <w:rPr>
          <w:b/>
        </w:rPr>
      </w:pPr>
      <w:r w:rsidRPr="00FA0EAD">
        <w:rPr>
          <w:rFonts w:ascii="Arial" w:eastAsia="Calibri" w:hAnsi="Arial" w:cs="Arial"/>
        </w:rPr>
        <w:tab/>
      </w:r>
      <w:r w:rsidR="003022B2" w:rsidRPr="003022B2">
        <w:rPr>
          <w:rFonts w:ascii="Arial" w:eastAsia="Calibri" w:hAnsi="Arial" w:cs="Arial"/>
          <w:b/>
        </w:rPr>
        <w:t xml:space="preserve"> END</w:t>
      </w:r>
    </w:p>
    <w:sectPr w:rsidR="009C5771" w:rsidRPr="009C5771" w:rsidSect="00696858">
      <w:footerReference w:type="default" r:id="rId8"/>
      <w:pgSz w:w="12240" w:h="15840"/>
      <w:pgMar w:top="432" w:right="720" w:bottom="821" w:left="72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93FB" w14:textId="77777777" w:rsidR="00AC705C" w:rsidRDefault="00AC705C" w:rsidP="006A0FA7">
      <w:pPr>
        <w:spacing w:after="0" w:line="240" w:lineRule="auto"/>
      </w:pPr>
      <w:r>
        <w:separator/>
      </w:r>
    </w:p>
  </w:endnote>
  <w:endnote w:type="continuationSeparator" w:id="0">
    <w:p w14:paraId="2FB1490C" w14:textId="77777777" w:rsidR="00AC705C" w:rsidRDefault="00AC705C" w:rsidP="006A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845260"/>
      <w:docPartObj>
        <w:docPartGallery w:val="Page Numbers (Bottom of Page)"/>
        <w:docPartUnique/>
      </w:docPartObj>
    </w:sdtPr>
    <w:sdtEndPr>
      <w:rPr>
        <w:noProof/>
      </w:rPr>
    </w:sdtEndPr>
    <w:sdtContent>
      <w:p w14:paraId="012B8216" w14:textId="77777777" w:rsidR="00C10A7F" w:rsidRDefault="00C10A7F">
        <w:pPr>
          <w:pStyle w:val="Footer"/>
          <w:jc w:val="center"/>
        </w:pPr>
        <w:r>
          <w:fldChar w:fldCharType="begin"/>
        </w:r>
        <w:r>
          <w:instrText xml:space="preserve"> PAGE   \* MERGEFORMAT </w:instrText>
        </w:r>
        <w:r>
          <w:fldChar w:fldCharType="separate"/>
        </w:r>
        <w:r w:rsidR="00125F12">
          <w:rPr>
            <w:noProof/>
          </w:rPr>
          <w:t>4</w:t>
        </w:r>
        <w:r>
          <w:rPr>
            <w:noProof/>
          </w:rPr>
          <w:fldChar w:fldCharType="end"/>
        </w:r>
      </w:p>
    </w:sdtContent>
  </w:sdt>
  <w:p w14:paraId="7D2A460D" w14:textId="77777777" w:rsidR="00554BC4" w:rsidRDefault="0055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93A7" w14:textId="77777777" w:rsidR="00AC705C" w:rsidRDefault="00AC705C" w:rsidP="006A0FA7">
      <w:pPr>
        <w:spacing w:after="0" w:line="240" w:lineRule="auto"/>
      </w:pPr>
      <w:r>
        <w:separator/>
      </w:r>
    </w:p>
  </w:footnote>
  <w:footnote w:type="continuationSeparator" w:id="0">
    <w:p w14:paraId="3AC85617" w14:textId="77777777" w:rsidR="00AC705C" w:rsidRDefault="00AC705C" w:rsidP="006A0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Roman"/>
    <w:lvl w:ilvl="0">
      <w:start w:val="1"/>
      <w:numFmt w:val="upperRoman"/>
      <w:pStyle w:val="Level1"/>
      <w:lvlText w:val="%1."/>
      <w:lvlJc w:val="left"/>
    </w:lvl>
    <w:lvl w:ilvl="1">
      <w:start w:val="1"/>
      <w:numFmt w:val="upperLetter"/>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4026AAF"/>
    <w:multiLevelType w:val="hybridMultilevel"/>
    <w:tmpl w:val="387E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32F9D"/>
    <w:multiLevelType w:val="hybridMultilevel"/>
    <w:tmpl w:val="5972C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582591"/>
    <w:multiLevelType w:val="hybridMultilevel"/>
    <w:tmpl w:val="18086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E269B2"/>
    <w:multiLevelType w:val="hybridMultilevel"/>
    <w:tmpl w:val="B6F20D48"/>
    <w:lvl w:ilvl="0" w:tplc="EAA45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473F2"/>
    <w:multiLevelType w:val="hybridMultilevel"/>
    <w:tmpl w:val="63CCE52E"/>
    <w:lvl w:ilvl="0" w:tplc="066A5FA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B281F"/>
    <w:multiLevelType w:val="hybridMultilevel"/>
    <w:tmpl w:val="4AB2F932"/>
    <w:lvl w:ilvl="0" w:tplc="9C3C51E6">
      <w:start w:val="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C0D1F5A"/>
    <w:multiLevelType w:val="hybridMultilevel"/>
    <w:tmpl w:val="9A8ED05A"/>
    <w:lvl w:ilvl="0" w:tplc="5296D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F3632A"/>
    <w:multiLevelType w:val="hybridMultilevel"/>
    <w:tmpl w:val="A61C2632"/>
    <w:lvl w:ilvl="0" w:tplc="7D7A2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601A64"/>
    <w:multiLevelType w:val="hybridMultilevel"/>
    <w:tmpl w:val="E2CC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42827"/>
    <w:multiLevelType w:val="hybridMultilevel"/>
    <w:tmpl w:val="7ED8CA2E"/>
    <w:lvl w:ilvl="0" w:tplc="E38C22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DD05C3C"/>
    <w:multiLevelType w:val="hybridMultilevel"/>
    <w:tmpl w:val="50BA8776"/>
    <w:lvl w:ilvl="0" w:tplc="0C8EE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011BB"/>
    <w:multiLevelType w:val="hybridMultilevel"/>
    <w:tmpl w:val="052CD9E8"/>
    <w:lvl w:ilvl="0" w:tplc="CAACD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B0648D"/>
    <w:multiLevelType w:val="hybridMultilevel"/>
    <w:tmpl w:val="8064EFBC"/>
    <w:lvl w:ilvl="0" w:tplc="DC80C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326CE2"/>
    <w:multiLevelType w:val="hybridMultilevel"/>
    <w:tmpl w:val="47BAFFC8"/>
    <w:lvl w:ilvl="0" w:tplc="A61884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AD1BE1"/>
    <w:multiLevelType w:val="hybridMultilevel"/>
    <w:tmpl w:val="978097D6"/>
    <w:lvl w:ilvl="0" w:tplc="F65CAE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D711456"/>
    <w:multiLevelType w:val="hybridMultilevel"/>
    <w:tmpl w:val="593E1F2C"/>
    <w:lvl w:ilvl="0" w:tplc="EF065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040F05"/>
    <w:multiLevelType w:val="hybridMultilevel"/>
    <w:tmpl w:val="6890C2C6"/>
    <w:lvl w:ilvl="0" w:tplc="586453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D4A7C6A"/>
    <w:multiLevelType w:val="hybridMultilevel"/>
    <w:tmpl w:val="963CF66A"/>
    <w:lvl w:ilvl="0" w:tplc="375C3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6A5BBF"/>
    <w:multiLevelType w:val="hybridMultilevel"/>
    <w:tmpl w:val="4CF81B34"/>
    <w:lvl w:ilvl="0" w:tplc="A79E0B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F6412D7"/>
    <w:multiLevelType w:val="hybridMultilevel"/>
    <w:tmpl w:val="886E5E16"/>
    <w:lvl w:ilvl="0" w:tplc="477604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3875DB1"/>
    <w:multiLevelType w:val="hybridMultilevel"/>
    <w:tmpl w:val="45F2A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340AC9"/>
    <w:multiLevelType w:val="hybridMultilevel"/>
    <w:tmpl w:val="5C6029D2"/>
    <w:lvl w:ilvl="0" w:tplc="59B4D066">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30560B"/>
    <w:multiLevelType w:val="hybridMultilevel"/>
    <w:tmpl w:val="0BCAB666"/>
    <w:lvl w:ilvl="0" w:tplc="531CD8E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F4A1FBB"/>
    <w:multiLevelType w:val="hybridMultilevel"/>
    <w:tmpl w:val="7B82C982"/>
    <w:lvl w:ilvl="0" w:tplc="264EC22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61872653">
    <w:abstractNumId w:val="21"/>
  </w:num>
  <w:num w:numId="2" w16cid:durableId="373700165">
    <w:abstractNumId w:val="9"/>
  </w:num>
  <w:num w:numId="3" w16cid:durableId="616722266">
    <w:abstractNumId w:val="18"/>
  </w:num>
  <w:num w:numId="4" w16cid:durableId="1826193066">
    <w:abstractNumId w:val="7"/>
  </w:num>
  <w:num w:numId="5" w16cid:durableId="1700860929">
    <w:abstractNumId w:val="8"/>
  </w:num>
  <w:num w:numId="6" w16cid:durableId="1505822804">
    <w:abstractNumId w:val="12"/>
  </w:num>
  <w:num w:numId="7" w16cid:durableId="1814982607">
    <w:abstractNumId w:val="13"/>
  </w:num>
  <w:num w:numId="8" w16cid:durableId="1567837769">
    <w:abstractNumId w:val="14"/>
  </w:num>
  <w:num w:numId="9" w16cid:durableId="1671637540">
    <w:abstractNumId w:val="3"/>
  </w:num>
  <w:num w:numId="10" w16cid:durableId="1572689617">
    <w:abstractNumId w:val="6"/>
  </w:num>
  <w:num w:numId="11" w16cid:durableId="821433371">
    <w:abstractNumId w:val="20"/>
  </w:num>
  <w:num w:numId="12" w16cid:durableId="1850943554">
    <w:abstractNumId w:val="15"/>
  </w:num>
  <w:num w:numId="13" w16cid:durableId="1459572220">
    <w:abstractNumId w:val="23"/>
  </w:num>
  <w:num w:numId="14" w16cid:durableId="1757744431">
    <w:abstractNumId w:val="24"/>
  </w:num>
  <w:num w:numId="15" w16cid:durableId="995916948">
    <w:abstractNumId w:val="17"/>
  </w:num>
  <w:num w:numId="16" w16cid:durableId="1874340208">
    <w:abstractNumId w:val="10"/>
  </w:num>
  <w:num w:numId="17" w16cid:durableId="1002968243">
    <w:abstractNumId w:val="19"/>
  </w:num>
  <w:num w:numId="18" w16cid:durableId="1257321069">
    <w:abstractNumId w:val="0"/>
    <w:lvlOverride w:ilvl="0">
      <w:startOverride w:val="1"/>
      <w:lvl w:ilvl="0">
        <w:start w:val="1"/>
        <w:numFmt w:val="upperRoman"/>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9" w16cid:durableId="1361197789">
    <w:abstractNumId w:val="2"/>
  </w:num>
  <w:num w:numId="20" w16cid:durableId="1319915408">
    <w:abstractNumId w:val="16"/>
  </w:num>
  <w:num w:numId="21" w16cid:durableId="734864832">
    <w:abstractNumId w:val="22"/>
  </w:num>
  <w:num w:numId="22" w16cid:durableId="877088266">
    <w:abstractNumId w:val="11"/>
  </w:num>
  <w:num w:numId="23" w16cid:durableId="1272010510">
    <w:abstractNumId w:val="1"/>
  </w:num>
  <w:num w:numId="24" w16cid:durableId="2121140567">
    <w:abstractNumId w:val="4"/>
  </w:num>
  <w:num w:numId="25" w16cid:durableId="235013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17"/>
    <w:rsid w:val="00010CC7"/>
    <w:rsid w:val="00020802"/>
    <w:rsid w:val="00044B20"/>
    <w:rsid w:val="00086FF9"/>
    <w:rsid w:val="000B46C2"/>
    <w:rsid w:val="000D1C35"/>
    <w:rsid w:val="00125F12"/>
    <w:rsid w:val="001D5A0D"/>
    <w:rsid w:val="001D7C92"/>
    <w:rsid w:val="00224225"/>
    <w:rsid w:val="0022425E"/>
    <w:rsid w:val="002448DE"/>
    <w:rsid w:val="00251B25"/>
    <w:rsid w:val="00293093"/>
    <w:rsid w:val="002D2043"/>
    <w:rsid w:val="00301F24"/>
    <w:rsid w:val="003022B2"/>
    <w:rsid w:val="0031228B"/>
    <w:rsid w:val="003A2FC5"/>
    <w:rsid w:val="003E2795"/>
    <w:rsid w:val="00436F24"/>
    <w:rsid w:val="00445E90"/>
    <w:rsid w:val="004E0958"/>
    <w:rsid w:val="004F7A17"/>
    <w:rsid w:val="0052489D"/>
    <w:rsid w:val="00554BC4"/>
    <w:rsid w:val="005A3B8F"/>
    <w:rsid w:val="005B2C5B"/>
    <w:rsid w:val="005B66E2"/>
    <w:rsid w:val="005D0093"/>
    <w:rsid w:val="005D571D"/>
    <w:rsid w:val="005E4C04"/>
    <w:rsid w:val="005F60F1"/>
    <w:rsid w:val="00696858"/>
    <w:rsid w:val="006A0FA7"/>
    <w:rsid w:val="006A4E73"/>
    <w:rsid w:val="006F2A47"/>
    <w:rsid w:val="006F7C04"/>
    <w:rsid w:val="00754EF6"/>
    <w:rsid w:val="007C0775"/>
    <w:rsid w:val="00825A5B"/>
    <w:rsid w:val="008A2E3D"/>
    <w:rsid w:val="00927A94"/>
    <w:rsid w:val="00953CC8"/>
    <w:rsid w:val="00973CA8"/>
    <w:rsid w:val="009812E3"/>
    <w:rsid w:val="009A60E9"/>
    <w:rsid w:val="009C5771"/>
    <w:rsid w:val="009C790B"/>
    <w:rsid w:val="009E129D"/>
    <w:rsid w:val="009E6E6F"/>
    <w:rsid w:val="009F7C12"/>
    <w:rsid w:val="00A40B97"/>
    <w:rsid w:val="00A439B5"/>
    <w:rsid w:val="00A864C9"/>
    <w:rsid w:val="00AA4BCA"/>
    <w:rsid w:val="00AA5DA2"/>
    <w:rsid w:val="00AC705C"/>
    <w:rsid w:val="00B47FFD"/>
    <w:rsid w:val="00B5574D"/>
    <w:rsid w:val="00B86049"/>
    <w:rsid w:val="00B87D89"/>
    <w:rsid w:val="00BA757C"/>
    <w:rsid w:val="00BC23E7"/>
    <w:rsid w:val="00BC32EA"/>
    <w:rsid w:val="00BE2B1A"/>
    <w:rsid w:val="00C016A5"/>
    <w:rsid w:val="00C10A7F"/>
    <w:rsid w:val="00C567D1"/>
    <w:rsid w:val="00C84D99"/>
    <w:rsid w:val="00CA3C83"/>
    <w:rsid w:val="00D06BED"/>
    <w:rsid w:val="00D13C62"/>
    <w:rsid w:val="00D35052"/>
    <w:rsid w:val="00D4232D"/>
    <w:rsid w:val="00DA1F26"/>
    <w:rsid w:val="00DA4140"/>
    <w:rsid w:val="00DE290E"/>
    <w:rsid w:val="00E2039C"/>
    <w:rsid w:val="00E270ED"/>
    <w:rsid w:val="00E81007"/>
    <w:rsid w:val="00E83451"/>
    <w:rsid w:val="00EA310B"/>
    <w:rsid w:val="00EA6131"/>
    <w:rsid w:val="00EE1CA6"/>
    <w:rsid w:val="00F06CD9"/>
    <w:rsid w:val="00F52A33"/>
    <w:rsid w:val="00F52CAE"/>
    <w:rsid w:val="00F97658"/>
    <w:rsid w:val="00FC49E1"/>
    <w:rsid w:val="00FD45FB"/>
    <w:rsid w:val="00FE07A7"/>
    <w:rsid w:val="00FF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F891"/>
  <w15:chartTrackingRefBased/>
  <w15:docId w15:val="{763EB093-7D85-4A3F-840E-5C721DC6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FC5"/>
    <w:rPr>
      <w:color w:val="0563C1" w:themeColor="hyperlink"/>
      <w:u w:val="single"/>
    </w:rPr>
  </w:style>
  <w:style w:type="paragraph" w:styleId="ListParagraph">
    <w:name w:val="List Paragraph"/>
    <w:basedOn w:val="Normal"/>
    <w:uiPriority w:val="34"/>
    <w:qFormat/>
    <w:rsid w:val="003A2FC5"/>
    <w:pPr>
      <w:spacing w:line="256" w:lineRule="auto"/>
      <w:ind w:left="720"/>
      <w:contextualSpacing/>
    </w:pPr>
  </w:style>
  <w:style w:type="paragraph" w:styleId="Header">
    <w:name w:val="header"/>
    <w:basedOn w:val="Normal"/>
    <w:link w:val="HeaderChar"/>
    <w:uiPriority w:val="99"/>
    <w:unhideWhenUsed/>
    <w:rsid w:val="006A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A7"/>
  </w:style>
  <w:style w:type="paragraph" w:styleId="Footer">
    <w:name w:val="footer"/>
    <w:basedOn w:val="Normal"/>
    <w:link w:val="FooterChar"/>
    <w:uiPriority w:val="99"/>
    <w:unhideWhenUsed/>
    <w:rsid w:val="006A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A7"/>
  </w:style>
  <w:style w:type="paragraph" w:styleId="NoSpacing">
    <w:name w:val="No Spacing"/>
    <w:uiPriority w:val="1"/>
    <w:qFormat/>
    <w:rsid w:val="00B86049"/>
    <w:pPr>
      <w:spacing w:after="0" w:line="240" w:lineRule="auto"/>
    </w:pPr>
  </w:style>
  <w:style w:type="paragraph" w:styleId="NormalWeb">
    <w:name w:val="Normal (Web)"/>
    <w:basedOn w:val="Normal"/>
    <w:uiPriority w:val="99"/>
    <w:unhideWhenUsed/>
    <w:rsid w:val="00C10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31228B"/>
    <w:pPr>
      <w:widowControl w:val="0"/>
      <w:numPr>
        <w:numId w:val="18"/>
      </w:numPr>
      <w:autoSpaceDE w:val="0"/>
      <w:autoSpaceDN w:val="0"/>
      <w:adjustRightInd w:val="0"/>
      <w:spacing w:after="0" w:line="240" w:lineRule="auto"/>
      <w:ind w:left="720" w:hanging="720"/>
      <w:outlineLvl w:val="0"/>
    </w:pPr>
    <w:rPr>
      <w:rFonts w:ascii="Times New Roman" w:eastAsiaTheme="minorEastAsia" w:hAnsi="Times New Roman" w:cs="Times New Roman"/>
      <w:sz w:val="24"/>
      <w:szCs w:val="24"/>
    </w:rPr>
  </w:style>
  <w:style w:type="paragraph" w:customStyle="1" w:styleId="QuickA">
    <w:name w:val="Quick A."/>
    <w:uiPriority w:val="99"/>
    <w:rsid w:val="0031228B"/>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Quick1">
    <w:name w:val="Quick 1."/>
    <w:uiPriority w:val="99"/>
    <w:rsid w:val="0031228B"/>
    <w:pPr>
      <w:autoSpaceDE w:val="0"/>
      <w:autoSpaceDN w:val="0"/>
      <w:adjustRightInd w:val="0"/>
      <w:spacing w:after="0" w:line="240" w:lineRule="auto"/>
      <w:ind w:left="-1440"/>
    </w:pPr>
    <w:rPr>
      <w:rFonts w:ascii="Times New Roman" w:eastAsiaTheme="minorEastAsia" w:hAnsi="Times New Roman" w:cs="Times New Roman"/>
      <w:sz w:val="24"/>
      <w:szCs w:val="24"/>
    </w:rPr>
  </w:style>
  <w:style w:type="character" w:styleId="Strong">
    <w:name w:val="Strong"/>
    <w:basedOn w:val="DefaultParagraphFont"/>
    <w:uiPriority w:val="22"/>
    <w:qFormat/>
    <w:rsid w:val="00312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Janelle A. Guentter</cp:lastModifiedBy>
  <cp:revision>4</cp:revision>
  <cp:lastPrinted>2017-10-08T19:04:00Z</cp:lastPrinted>
  <dcterms:created xsi:type="dcterms:W3CDTF">2025-03-15T16:33:00Z</dcterms:created>
  <dcterms:modified xsi:type="dcterms:W3CDTF">2025-03-15T16:35:00Z</dcterms:modified>
</cp:coreProperties>
</file>