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AE4" w14:textId="50FDF454" w:rsidR="00210C5B" w:rsidRDefault="00210C5B" w:rsidP="00210C5B">
      <w:pPr>
        <w:pStyle w:val="NormalWeb"/>
      </w:pPr>
      <w:r>
        <w:rPr>
          <w:noProof/>
        </w:rPr>
        <w:drawing>
          <wp:inline distT="0" distB="0" distL="0" distR="0" wp14:anchorId="3160BFB2" wp14:editId="07BF941D">
            <wp:extent cx="5514975" cy="183832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15010" w14:textId="35543052" w:rsidR="00E55E42" w:rsidRPr="005A303B" w:rsidRDefault="00E55E42" w:rsidP="00E55E42">
      <w:pPr>
        <w:tabs>
          <w:tab w:val="left" w:pos="4890"/>
          <w:tab w:val="left" w:pos="5190"/>
          <w:tab w:val="left" w:pos="6270"/>
        </w:tabs>
        <w:spacing w:after="0"/>
        <w:rPr>
          <w:b/>
          <w:sz w:val="28"/>
          <w:szCs w:val="28"/>
        </w:rPr>
      </w:pPr>
      <w:r w:rsidRPr="00CA06D0">
        <w:rPr>
          <w:b/>
          <w:sz w:val="28"/>
          <w:szCs w:val="28"/>
        </w:rPr>
        <w:t xml:space="preserve">COG Meeting   Friday </w:t>
      </w:r>
      <w:r w:rsidR="00E22F80">
        <w:rPr>
          <w:b/>
          <w:sz w:val="28"/>
          <w:szCs w:val="28"/>
        </w:rPr>
        <w:t>June 12</w:t>
      </w:r>
      <w:r w:rsidR="00167A7D" w:rsidRPr="00CA06D0">
        <w:rPr>
          <w:b/>
          <w:sz w:val="28"/>
          <w:szCs w:val="28"/>
        </w:rPr>
        <w:t>, 2026</w:t>
      </w:r>
      <w:r w:rsidRPr="00CA06D0">
        <w:rPr>
          <w:b/>
          <w:sz w:val="24"/>
          <w:szCs w:val="24"/>
        </w:rPr>
        <w:t xml:space="preserve">     </w:t>
      </w:r>
      <w:r w:rsidRPr="00CA06D0">
        <w:rPr>
          <w:b/>
        </w:rPr>
        <w:t xml:space="preserve"> </w:t>
      </w:r>
      <w:r w:rsidRPr="00CA06D0">
        <w:rPr>
          <w:b/>
          <w:sz w:val="28"/>
          <w:szCs w:val="28"/>
        </w:rPr>
        <w:t>10:00 AM</w:t>
      </w:r>
    </w:p>
    <w:p w14:paraId="1988C83B" w14:textId="77777777" w:rsidR="00E22F80" w:rsidRDefault="00E55E42" w:rsidP="00E55E42">
      <w:pPr>
        <w:spacing w:after="0"/>
        <w:rPr>
          <w:b/>
          <w:sz w:val="24"/>
          <w:szCs w:val="24"/>
        </w:rPr>
      </w:pPr>
      <w:r w:rsidRPr="003C6D8B">
        <w:rPr>
          <w:b/>
          <w:sz w:val="28"/>
          <w:szCs w:val="28"/>
        </w:rPr>
        <w:t xml:space="preserve">In person at the Harrison Co JSF Office, 520 N Main Street </w:t>
      </w:r>
      <w:r>
        <w:rPr>
          <w:b/>
          <w:sz w:val="28"/>
          <w:szCs w:val="28"/>
        </w:rPr>
        <w:t xml:space="preserve"> </w:t>
      </w:r>
      <w:r w:rsidRPr="003C6D8B">
        <w:rPr>
          <w:b/>
          <w:sz w:val="28"/>
          <w:szCs w:val="28"/>
        </w:rPr>
        <w:t xml:space="preserve"> Cadiz, OH</w:t>
      </w:r>
      <w:r>
        <w:rPr>
          <w:b/>
          <w:sz w:val="24"/>
          <w:szCs w:val="24"/>
        </w:rPr>
        <w:t xml:space="preserve">      </w:t>
      </w:r>
    </w:p>
    <w:p w14:paraId="73A96DFF" w14:textId="78957A7B" w:rsidR="00E55E42" w:rsidRDefault="00E55E42" w:rsidP="00E55E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C7B92CB" w14:textId="11BE3153" w:rsid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rial" w:eastAsia="Aptos" w:hAnsi="Arial" w:cs="Arial"/>
          <w:b/>
          <w:bCs/>
          <w:sz w:val="20"/>
          <w:szCs w:val="20"/>
        </w:rPr>
      </w:pPr>
      <w:bookmarkStart w:id="0" w:name="_Hlk142388742"/>
      <w:r w:rsidRPr="00E22F80">
        <w:rPr>
          <w:rFonts w:ascii="Arial" w:eastAsia="Aptos" w:hAnsi="Arial" w:cs="Arial"/>
          <w:b/>
          <w:bCs/>
          <w:sz w:val="20"/>
          <w:szCs w:val="20"/>
        </w:rPr>
        <w:t>Call to Order</w:t>
      </w:r>
    </w:p>
    <w:p w14:paraId="67EFFF42" w14:textId="77777777" w:rsidR="00E22F80" w:rsidRPr="00E22F80" w:rsidRDefault="00E22F80" w:rsidP="00E22F80">
      <w:pPr>
        <w:spacing w:after="0" w:line="240" w:lineRule="auto"/>
        <w:contextualSpacing/>
        <w:rPr>
          <w:rFonts w:ascii="Arial" w:eastAsia="Aptos" w:hAnsi="Arial" w:cs="Arial"/>
          <w:b/>
          <w:bCs/>
          <w:sz w:val="20"/>
          <w:szCs w:val="20"/>
        </w:rPr>
      </w:pPr>
    </w:p>
    <w:p w14:paraId="4DB67257" w14:textId="2C955BBF" w:rsid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rial" w:eastAsia="Aptos" w:hAnsi="Arial" w:cs="Arial"/>
          <w:b/>
          <w:bCs/>
          <w:sz w:val="20"/>
          <w:szCs w:val="20"/>
        </w:rPr>
      </w:pPr>
      <w:r w:rsidRPr="00E22F80">
        <w:rPr>
          <w:rFonts w:ascii="Arial" w:eastAsia="Aptos" w:hAnsi="Arial" w:cs="Arial"/>
          <w:b/>
          <w:bCs/>
          <w:sz w:val="20"/>
          <w:szCs w:val="20"/>
        </w:rPr>
        <w:t>Roll Call</w:t>
      </w:r>
    </w:p>
    <w:p w14:paraId="4B031114" w14:textId="77777777" w:rsidR="00E22F80" w:rsidRPr="00E22F80" w:rsidRDefault="00E22F80" w:rsidP="00E22F80">
      <w:pPr>
        <w:spacing w:after="0" w:line="240" w:lineRule="auto"/>
        <w:contextualSpacing/>
        <w:rPr>
          <w:rFonts w:ascii="Arial" w:eastAsia="Aptos" w:hAnsi="Arial" w:cs="Arial"/>
          <w:b/>
          <w:bCs/>
          <w:sz w:val="20"/>
          <w:szCs w:val="20"/>
        </w:rPr>
      </w:pPr>
    </w:p>
    <w:p w14:paraId="2AF5E628" w14:textId="06C930AB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rial" w:eastAsia="Aptos" w:hAnsi="Arial" w:cs="Arial"/>
          <w:b/>
          <w:bCs/>
          <w:sz w:val="20"/>
          <w:szCs w:val="20"/>
        </w:rPr>
      </w:pPr>
      <w:r>
        <w:rPr>
          <w:rFonts w:ascii="Arial" w:eastAsia="Aptos" w:hAnsi="Arial" w:cs="Arial"/>
          <w:b/>
          <w:bCs/>
          <w:sz w:val="20"/>
          <w:szCs w:val="20"/>
        </w:rPr>
        <w:t xml:space="preserve">Approval of </w:t>
      </w:r>
      <w:r w:rsidRPr="00E22F80">
        <w:rPr>
          <w:rFonts w:ascii="Arial" w:eastAsia="Aptos" w:hAnsi="Arial" w:cs="Arial"/>
          <w:sz w:val="20"/>
          <w:szCs w:val="20"/>
        </w:rPr>
        <w:t>Minutes (3/20/26)</w:t>
      </w:r>
    </w:p>
    <w:bookmarkEnd w:id="0"/>
    <w:p w14:paraId="38A817B2" w14:textId="7777777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</w:p>
    <w:p w14:paraId="23A1E2B4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b/>
          <w:bCs/>
          <w:color w:val="000000"/>
          <w:sz w:val="20"/>
          <w:szCs w:val="20"/>
        </w:rPr>
        <w:t>Financial/Participants Reports</w:t>
      </w:r>
      <w:r w:rsidRPr="00E22F80">
        <w:rPr>
          <w:rFonts w:ascii="Arial" w:eastAsia="Aptos" w:hAnsi="Arial" w:cs="Arial"/>
          <w:color w:val="000000"/>
          <w:sz w:val="20"/>
          <w:szCs w:val="20"/>
        </w:rPr>
        <w:t xml:space="preserve"> (Rob and Rebecca)</w:t>
      </w:r>
    </w:p>
    <w:p w14:paraId="1482E178" w14:textId="751694F1" w:rsidR="00E22F80" w:rsidRPr="00E22F80" w:rsidRDefault="00E22F80" w:rsidP="00E22F80">
      <w:pPr>
        <w:numPr>
          <w:ilvl w:val="0"/>
          <w:numId w:val="33"/>
        </w:numPr>
        <w:spacing w:after="0" w:line="240" w:lineRule="auto"/>
        <w:ind w:left="720"/>
        <w:contextualSpacing/>
        <w:rPr>
          <w:rFonts w:ascii="Arial" w:eastAsia="Aptos" w:hAnsi="Arial" w:cs="Arial"/>
          <w:color w:val="000000"/>
          <w:sz w:val="20"/>
          <w:szCs w:val="20"/>
        </w:rPr>
      </w:pPr>
      <w:r w:rsidRPr="00E22F80">
        <w:rPr>
          <w:rFonts w:ascii="Arial" w:eastAsia="Aptos" w:hAnsi="Arial" w:cs="Arial"/>
          <w:color w:val="000000"/>
          <w:sz w:val="20"/>
          <w:szCs w:val="20"/>
        </w:rPr>
        <w:t>Financial Report (</w:t>
      </w:r>
      <w:r>
        <w:rPr>
          <w:rFonts w:ascii="Arial" w:eastAsia="Aptos" w:hAnsi="Arial" w:cs="Arial"/>
          <w:color w:val="000000"/>
          <w:sz w:val="20"/>
          <w:szCs w:val="20"/>
        </w:rPr>
        <w:t>April</w:t>
      </w:r>
      <w:r w:rsidRPr="00E22F80">
        <w:rPr>
          <w:rFonts w:ascii="Arial" w:eastAsia="Aptos" w:hAnsi="Arial" w:cs="Arial"/>
          <w:color w:val="000000"/>
          <w:sz w:val="20"/>
          <w:szCs w:val="20"/>
        </w:rPr>
        <w:t xml:space="preserve"> 2026) </w:t>
      </w:r>
    </w:p>
    <w:p w14:paraId="7C107668" w14:textId="77777777" w:rsidR="00E22F80" w:rsidRPr="00E22F80" w:rsidRDefault="00E22F80" w:rsidP="00E22F80">
      <w:pPr>
        <w:numPr>
          <w:ilvl w:val="0"/>
          <w:numId w:val="33"/>
        </w:numPr>
        <w:spacing w:after="0" w:line="240" w:lineRule="auto"/>
        <w:ind w:left="720"/>
        <w:contextualSpacing/>
        <w:rPr>
          <w:rFonts w:ascii="Arial" w:eastAsia="Aptos" w:hAnsi="Arial" w:cs="Arial"/>
          <w:color w:val="000000"/>
          <w:sz w:val="20"/>
          <w:szCs w:val="20"/>
        </w:rPr>
      </w:pPr>
      <w:r w:rsidRPr="00E22F80">
        <w:rPr>
          <w:rFonts w:ascii="Arial" w:eastAsia="Aptos" w:hAnsi="Arial" w:cs="Arial"/>
          <w:color w:val="000000"/>
          <w:sz w:val="20"/>
          <w:szCs w:val="20"/>
        </w:rPr>
        <w:t>Allocation vs Expense Report</w:t>
      </w:r>
    </w:p>
    <w:p w14:paraId="1E9B6E5E" w14:textId="77777777" w:rsidR="00E22F80" w:rsidRPr="00E22F80" w:rsidRDefault="00E22F80" w:rsidP="00E22F80">
      <w:pPr>
        <w:numPr>
          <w:ilvl w:val="0"/>
          <w:numId w:val="33"/>
        </w:numPr>
        <w:spacing w:after="0" w:line="240" w:lineRule="auto"/>
        <w:ind w:left="720"/>
        <w:contextualSpacing/>
        <w:rPr>
          <w:rFonts w:ascii="Arial" w:eastAsia="Aptos" w:hAnsi="Arial" w:cs="Arial"/>
          <w:color w:val="000000"/>
          <w:sz w:val="20"/>
          <w:szCs w:val="20"/>
        </w:rPr>
      </w:pPr>
    </w:p>
    <w:p w14:paraId="4BE5C5EB" w14:textId="29792D99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>Transfers: Harrison A/DW to Jefferson $</w:t>
      </w:r>
      <w:r w:rsidR="00983B12">
        <w:rPr>
          <w:rFonts w:ascii="Arial" w:eastAsia="Aptos" w:hAnsi="Arial" w:cs="Arial"/>
          <w:sz w:val="20"/>
          <w:szCs w:val="20"/>
        </w:rPr>
        <w:t>40,000</w:t>
      </w:r>
    </w:p>
    <w:p w14:paraId="48E6A3EF" w14:textId="5643A91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 xml:space="preserve">                 Jefferson Youth to Harrison $</w:t>
      </w:r>
      <w:r w:rsidR="00983B12">
        <w:rPr>
          <w:rFonts w:ascii="Arial" w:eastAsia="Aptos" w:hAnsi="Arial" w:cs="Arial"/>
          <w:sz w:val="20"/>
          <w:szCs w:val="20"/>
        </w:rPr>
        <w:t>40,000</w:t>
      </w:r>
    </w:p>
    <w:p w14:paraId="532BE050" w14:textId="7777777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</w:p>
    <w:p w14:paraId="55494AC2" w14:textId="7777777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>Bills to Pay:    CORSA $3,842.00</w:t>
      </w:r>
    </w:p>
    <w:p w14:paraId="77C5CB51" w14:textId="7777777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 xml:space="preserve">                       Ohio Workforce Association (OWA) Not to exceed </w:t>
      </w:r>
      <w:r w:rsidRPr="00E442AE">
        <w:rPr>
          <w:rFonts w:ascii="Arial" w:eastAsia="Aptos" w:hAnsi="Arial" w:cs="Arial"/>
          <w:sz w:val="20"/>
          <w:szCs w:val="20"/>
        </w:rPr>
        <w:t>$5,040</w:t>
      </w:r>
      <w:r w:rsidRPr="00E22F80">
        <w:rPr>
          <w:rFonts w:ascii="Arial" w:eastAsia="Aptos" w:hAnsi="Arial" w:cs="Arial"/>
          <w:sz w:val="20"/>
          <w:szCs w:val="20"/>
        </w:rPr>
        <w:t xml:space="preserve"> </w:t>
      </w:r>
    </w:p>
    <w:p w14:paraId="7A15D044" w14:textId="780EC5BB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  <w:r>
        <w:rPr>
          <w:rFonts w:ascii="Arial" w:eastAsia="Aptos" w:hAnsi="Arial" w:cs="Arial"/>
          <w:sz w:val="20"/>
          <w:szCs w:val="20"/>
        </w:rPr>
        <w:t xml:space="preserve">(Fiscal report and related items recommended for approval by WDB16 </w:t>
      </w:r>
      <w:r w:rsidR="00983B12">
        <w:rPr>
          <w:rFonts w:ascii="Arial" w:eastAsia="Aptos" w:hAnsi="Arial" w:cs="Arial"/>
          <w:sz w:val="20"/>
          <w:szCs w:val="20"/>
        </w:rPr>
        <w:t>10</w:t>
      </w:r>
      <w:r>
        <w:rPr>
          <w:rFonts w:ascii="Arial" w:eastAsia="Aptos" w:hAnsi="Arial" w:cs="Arial"/>
          <w:sz w:val="20"/>
          <w:szCs w:val="20"/>
        </w:rPr>
        <w:t>-2026)</w:t>
      </w:r>
    </w:p>
    <w:p w14:paraId="31E3CBFF" w14:textId="77777777" w:rsidR="00E22F80" w:rsidRDefault="00E22F80" w:rsidP="00E22F80">
      <w:pPr>
        <w:spacing w:line="240" w:lineRule="auto"/>
        <w:contextualSpacing/>
        <w:rPr>
          <w:rFonts w:ascii="Arial" w:eastAsia="Aptos" w:hAnsi="Arial" w:cs="Arial"/>
          <w:b/>
          <w:bCs/>
          <w:sz w:val="20"/>
          <w:szCs w:val="20"/>
        </w:rPr>
      </w:pPr>
    </w:p>
    <w:p w14:paraId="5E132091" w14:textId="7777777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b/>
          <w:bCs/>
          <w:sz w:val="20"/>
          <w:szCs w:val="20"/>
        </w:rPr>
      </w:pPr>
    </w:p>
    <w:p w14:paraId="0B15C2E4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rial" w:eastAsia="Aptos" w:hAnsi="Arial" w:cs="Arial"/>
          <w:b/>
          <w:bCs/>
          <w:sz w:val="20"/>
          <w:szCs w:val="20"/>
        </w:rPr>
      </w:pPr>
      <w:r w:rsidRPr="00E22F80">
        <w:rPr>
          <w:rFonts w:ascii="Arial" w:eastAsia="Aptos" w:hAnsi="Arial" w:cs="Arial"/>
          <w:b/>
          <w:bCs/>
          <w:sz w:val="20"/>
          <w:szCs w:val="20"/>
        </w:rPr>
        <w:t>WIOA Update: Staff Report</w:t>
      </w:r>
    </w:p>
    <w:p w14:paraId="5CE262B8" w14:textId="77777777" w:rsidR="00E22F80" w:rsidRPr="00E22F80" w:rsidRDefault="00E22F80" w:rsidP="00E22F80">
      <w:pPr>
        <w:numPr>
          <w:ilvl w:val="0"/>
          <w:numId w:val="34"/>
        </w:numPr>
        <w:spacing w:after="0" w:line="240" w:lineRule="auto"/>
        <w:ind w:left="720"/>
        <w:contextualSpacing/>
        <w:rPr>
          <w:rFonts w:ascii="Arial" w:eastAsia="Aptos" w:hAnsi="Arial" w:cs="Arial"/>
          <w:sz w:val="20"/>
          <w:szCs w:val="20"/>
        </w:rPr>
      </w:pPr>
      <w:bookmarkStart w:id="1" w:name="_Hlk166916787"/>
      <w:r w:rsidRPr="00E22F80">
        <w:rPr>
          <w:rFonts w:ascii="Arial" w:eastAsia="Aptos" w:hAnsi="Arial" w:cs="Arial"/>
          <w:sz w:val="20"/>
          <w:szCs w:val="20"/>
        </w:rPr>
        <w:t>WIOA Reauthorization</w:t>
      </w:r>
    </w:p>
    <w:bookmarkEnd w:id="1"/>
    <w:p w14:paraId="73F20807" w14:textId="77777777" w:rsidR="00E22F80" w:rsidRPr="00E22F80" w:rsidRDefault="00E22F80" w:rsidP="00E22F80">
      <w:pPr>
        <w:numPr>
          <w:ilvl w:val="0"/>
          <w:numId w:val="34"/>
        </w:numPr>
        <w:spacing w:after="0" w:line="240" w:lineRule="auto"/>
        <w:ind w:left="720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>ARC ARISE Apprenticeship update</w:t>
      </w:r>
    </w:p>
    <w:p w14:paraId="272AF6EC" w14:textId="77777777" w:rsidR="00E22F80" w:rsidRPr="00E22F80" w:rsidRDefault="00E22F80" w:rsidP="00E22F80">
      <w:pPr>
        <w:numPr>
          <w:ilvl w:val="0"/>
          <w:numId w:val="34"/>
        </w:numPr>
        <w:spacing w:after="0" w:line="240" w:lineRule="auto"/>
        <w:ind w:left="720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>Area 16 WIOA Performance Standards Negotiations</w:t>
      </w:r>
    </w:p>
    <w:p w14:paraId="364F714F" w14:textId="77777777" w:rsidR="00E22F80" w:rsidRDefault="00E22F80" w:rsidP="00E22F80">
      <w:pPr>
        <w:numPr>
          <w:ilvl w:val="0"/>
          <w:numId w:val="34"/>
        </w:numPr>
        <w:spacing w:after="0" w:line="240" w:lineRule="auto"/>
        <w:ind w:left="720"/>
        <w:contextualSpacing/>
        <w:rPr>
          <w:rFonts w:ascii="Arial" w:eastAsia="Aptos" w:hAnsi="Arial" w:cs="Arial"/>
          <w:sz w:val="20"/>
          <w:szCs w:val="20"/>
        </w:rPr>
      </w:pPr>
      <w:r w:rsidRPr="00E22F80">
        <w:rPr>
          <w:rFonts w:ascii="Arial" w:eastAsia="Aptos" w:hAnsi="Arial" w:cs="Arial"/>
          <w:sz w:val="20"/>
          <w:szCs w:val="20"/>
        </w:rPr>
        <w:t>AI Eligibility and Tracking Project Special Grant update ($175,0000 awarded!)</w:t>
      </w:r>
    </w:p>
    <w:p w14:paraId="00A06506" w14:textId="77777777" w:rsidR="00E22F80" w:rsidRDefault="00E22F80" w:rsidP="00E22F80">
      <w:pPr>
        <w:spacing w:after="0" w:line="240" w:lineRule="auto"/>
        <w:contextualSpacing/>
        <w:rPr>
          <w:rFonts w:ascii="Arial" w:eastAsia="Aptos" w:hAnsi="Arial" w:cs="Arial"/>
          <w:sz w:val="20"/>
          <w:szCs w:val="20"/>
        </w:rPr>
      </w:pPr>
    </w:p>
    <w:p w14:paraId="68582C70" w14:textId="5D1F0F99" w:rsidR="00E22F80" w:rsidRPr="00E22F80" w:rsidRDefault="00E22F80" w:rsidP="00E22F80">
      <w:pPr>
        <w:pStyle w:val="ListParagraph"/>
        <w:numPr>
          <w:ilvl w:val="0"/>
          <w:numId w:val="36"/>
        </w:numPr>
        <w:spacing w:after="0" w:line="240" w:lineRule="auto"/>
        <w:rPr>
          <w:rFonts w:ascii="Aptos" w:eastAsia="Aptos" w:hAnsi="Aptos" w:cs="Arial"/>
          <w:b/>
          <w:bCs/>
        </w:rPr>
      </w:pPr>
      <w:r w:rsidRPr="00E22F80">
        <w:rPr>
          <w:rFonts w:ascii="Aptos" w:eastAsia="Aptos" w:hAnsi="Aptos" w:cs="Arial"/>
          <w:b/>
          <w:bCs/>
        </w:rPr>
        <w:t>OMJ Operator Report</w:t>
      </w:r>
    </w:p>
    <w:p w14:paraId="5D04629C" w14:textId="77777777" w:rsidR="00E22F80" w:rsidRDefault="00E22F80" w:rsidP="00E22F80">
      <w:pPr>
        <w:spacing w:after="0" w:line="240" w:lineRule="auto"/>
        <w:rPr>
          <w:rFonts w:ascii="Aptos" w:eastAsia="Aptos" w:hAnsi="Aptos" w:cs="Arial"/>
        </w:rPr>
      </w:pPr>
    </w:p>
    <w:p w14:paraId="2D0984E5" w14:textId="77777777" w:rsidR="00E22F80" w:rsidRDefault="00E22F80" w:rsidP="00E22F80">
      <w:pPr>
        <w:spacing w:after="0" w:line="240" w:lineRule="auto"/>
        <w:rPr>
          <w:rFonts w:ascii="Aptos" w:eastAsia="Aptos" w:hAnsi="Aptos" w:cs="Arial"/>
        </w:rPr>
      </w:pPr>
    </w:p>
    <w:p w14:paraId="5626D9A0" w14:textId="77777777" w:rsidR="00E22F80" w:rsidRPr="00E22F80" w:rsidRDefault="00E22F80" w:rsidP="00E22F80">
      <w:pPr>
        <w:spacing w:after="0" w:line="240" w:lineRule="auto"/>
        <w:rPr>
          <w:rFonts w:ascii="Aptos" w:eastAsia="Aptos" w:hAnsi="Aptos" w:cs="Arial"/>
        </w:rPr>
      </w:pPr>
    </w:p>
    <w:p w14:paraId="1A1BAD54" w14:textId="3827F42E" w:rsidR="00E22F80" w:rsidRDefault="00983B12" w:rsidP="00983B12">
      <w:pPr>
        <w:pStyle w:val="ListParagraph"/>
        <w:numPr>
          <w:ilvl w:val="0"/>
          <w:numId w:val="36"/>
        </w:numPr>
        <w:spacing w:line="240" w:lineRule="auto"/>
        <w:rPr>
          <w:rFonts w:ascii="Aptos" w:eastAsia="Aptos" w:hAnsi="Aptos" w:cs="Times New Roman"/>
          <w:b/>
        </w:rPr>
      </w:pPr>
      <w:r w:rsidRPr="00983B12">
        <w:rPr>
          <w:rFonts w:ascii="Aptos" w:eastAsia="Aptos" w:hAnsi="Aptos" w:cs="Times New Roman"/>
          <w:b/>
        </w:rPr>
        <w:t>Use of Personal Identifiable Information Policy</w:t>
      </w:r>
    </w:p>
    <w:p w14:paraId="076A8158" w14:textId="274708F5" w:rsidR="00983B12" w:rsidRPr="00983B12" w:rsidRDefault="00983B12" w:rsidP="00983B12">
      <w:pPr>
        <w:pStyle w:val="ListParagraph"/>
        <w:spacing w:line="240" w:lineRule="auto"/>
        <w:ind w:left="540"/>
        <w:rPr>
          <w:rFonts w:ascii="Aptos" w:eastAsia="Aptos" w:hAnsi="Aptos" w:cs="Times New Roman"/>
          <w:b/>
        </w:rPr>
      </w:pPr>
      <w:r>
        <w:rPr>
          <w:rFonts w:ascii="Arial" w:eastAsia="Aptos" w:hAnsi="Arial" w:cs="Arial"/>
          <w:sz w:val="20"/>
          <w:szCs w:val="20"/>
        </w:rPr>
        <w:t>(R</w:t>
      </w:r>
      <w:r>
        <w:rPr>
          <w:rFonts w:ascii="Arial" w:eastAsia="Aptos" w:hAnsi="Arial" w:cs="Arial"/>
          <w:sz w:val="20"/>
          <w:szCs w:val="20"/>
        </w:rPr>
        <w:t>ecommended for approval by WDB16 1</w:t>
      </w:r>
      <w:r>
        <w:rPr>
          <w:rFonts w:ascii="Arial" w:eastAsia="Aptos" w:hAnsi="Arial" w:cs="Arial"/>
          <w:sz w:val="20"/>
          <w:szCs w:val="20"/>
        </w:rPr>
        <w:t>9</w:t>
      </w:r>
      <w:r>
        <w:rPr>
          <w:rFonts w:ascii="Arial" w:eastAsia="Aptos" w:hAnsi="Arial" w:cs="Arial"/>
          <w:sz w:val="20"/>
          <w:szCs w:val="20"/>
        </w:rPr>
        <w:t>-2026)</w:t>
      </w:r>
    </w:p>
    <w:p w14:paraId="529CE96F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68B4310C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ptos" w:eastAsia="Aptos" w:hAnsi="Aptos" w:cs="Times New Roman"/>
          <w:b/>
        </w:rPr>
      </w:pPr>
      <w:r w:rsidRPr="00E22F80">
        <w:rPr>
          <w:rFonts w:ascii="Aptos" w:eastAsia="Aptos" w:hAnsi="Aptos" w:cs="Times New Roman"/>
          <w:b/>
        </w:rPr>
        <w:t xml:space="preserve">Contracts to Approve:  </w:t>
      </w:r>
    </w:p>
    <w:p w14:paraId="63CA7E83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  <w:i/>
          <w:iCs/>
        </w:rPr>
      </w:pPr>
      <w:r w:rsidRPr="00E22F80">
        <w:rPr>
          <w:rFonts w:ascii="Aptos" w:eastAsia="Aptos" w:hAnsi="Aptos" w:cs="Times New Roman"/>
          <w:bCs/>
          <w:i/>
          <w:iCs/>
        </w:rPr>
        <w:t>All are “not to exceed” amounts pending administrative negotiations and contracts.</w:t>
      </w:r>
    </w:p>
    <w:p w14:paraId="6A6449AB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246B1C69" w14:textId="77777777" w:rsidR="00E22F80" w:rsidRPr="00E22F80" w:rsidRDefault="00E22F80" w:rsidP="00E22F80">
      <w:pPr>
        <w:spacing w:line="240" w:lineRule="auto"/>
        <w:contextualSpacing/>
        <w:rPr>
          <w:rFonts w:ascii="Arial" w:eastAsia="Aptos" w:hAnsi="Arial" w:cs="Arial"/>
          <w:sz w:val="20"/>
          <w:szCs w:val="2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3420"/>
        <w:gridCol w:w="2790"/>
        <w:gridCol w:w="2160"/>
      </w:tblGrid>
      <w:tr w:rsidR="00E22F80" w:rsidRPr="00E22F80" w14:paraId="0DD75CFB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23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Item #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E90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Agreement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61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Vendor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0F8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Contract Amount</w:t>
            </w:r>
          </w:p>
        </w:tc>
      </w:tr>
      <w:tr w:rsidR="00E22F80" w:rsidRPr="00E22F80" w14:paraId="4D10BA63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CB0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583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MOU   7/1/26-6/30/27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D9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19E9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As per MOU </w:t>
            </w:r>
          </w:p>
        </w:tc>
      </w:tr>
      <w:tr w:rsidR="00E22F80" w:rsidRPr="00E22F80" w14:paraId="7EC9D5A6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16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E1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9EF" w14:textId="77777777" w:rsidR="00983B12" w:rsidRPr="00C44990" w:rsidRDefault="00983B12" w:rsidP="00E22F80">
            <w:pPr>
              <w:spacing w:after="25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Recommended WDB16 </w:t>
            </w:r>
          </w:p>
          <w:p w14:paraId="3BA02316" w14:textId="693B671C" w:rsidR="00E22F80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12-2026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576" w14:textId="77777777" w:rsid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96EE813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22F80" w:rsidRPr="00E22F80" w14:paraId="06F946F7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3CB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F24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Outreach Contract </w:t>
            </w:r>
          </w:p>
          <w:p w14:paraId="4E115CD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Yr 1 of 4</w:t>
            </w:r>
          </w:p>
          <w:p w14:paraId="0B22700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7/1/26-6/30/27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906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OMJ Operators and WDB16 Executive Board recommend not to award an outreach contract this year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2FB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Not recommended to award an Area 16 Outreach contract this year</w:t>
            </w:r>
          </w:p>
        </w:tc>
      </w:tr>
      <w:tr w:rsidR="00E22F80" w:rsidRPr="00E22F80" w14:paraId="2DA9D5D8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02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10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887" w14:textId="2603F0C3" w:rsidR="00E22F80" w:rsidRPr="00E22F80" w:rsidRDefault="00E22F80" w:rsidP="00983B12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B3D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54889F78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7B69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0F9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Operator Contract</w:t>
            </w:r>
          </w:p>
          <w:p w14:paraId="5ED3348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Year 3 of 4         7/1/26-6/30/27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F13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Belmont JFS Consortium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94F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As per MOU</w:t>
            </w:r>
          </w:p>
        </w:tc>
      </w:tr>
      <w:tr w:rsidR="00E22F80" w:rsidRPr="00E22F80" w14:paraId="6E8D6FC9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35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D9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F52" w14:textId="77777777" w:rsidR="00983B12" w:rsidRPr="00C44990" w:rsidRDefault="00983B12" w:rsidP="00983B12">
            <w:pPr>
              <w:spacing w:after="25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Recommended WDB16 </w:t>
            </w:r>
          </w:p>
          <w:p w14:paraId="620FADC6" w14:textId="04FEF174" w:rsidR="00E22F80" w:rsidRPr="00E22F80" w:rsidRDefault="00983B12" w:rsidP="00983B12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-2026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69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B12" w:rsidRPr="00E22F80" w14:paraId="66D211A7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1E3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2E92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6FE" w14:textId="77777777" w:rsidR="00983B12" w:rsidRPr="00983B12" w:rsidRDefault="00983B12" w:rsidP="00983B12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1B3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4EA73433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6B2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929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AD and DW Framework and Design</w:t>
            </w:r>
          </w:p>
          <w:p w14:paraId="0FE74EC8" w14:textId="40986124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Yr 1 of 4   7/1/26-6/30/2</w:t>
            </w:r>
            <w:r w:rsidR="00983B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F58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 CAC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B9C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$923,101</w:t>
            </w:r>
          </w:p>
          <w:p w14:paraId="3307D5F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(Includes $654,000 for direct participant training and support services)</w:t>
            </w:r>
          </w:p>
        </w:tc>
      </w:tr>
      <w:tr w:rsidR="00E22F80" w:rsidRPr="00E22F80" w14:paraId="4EC9B180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47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E3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23E" w14:textId="77777777" w:rsidR="00983B12" w:rsidRPr="00C44990" w:rsidRDefault="00983B12" w:rsidP="00983B12">
            <w:pPr>
              <w:spacing w:after="25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Recommended WDB16 </w:t>
            </w:r>
          </w:p>
          <w:p w14:paraId="6DF0C3C4" w14:textId="6EA0C0C4" w:rsidR="00E22F80" w:rsidRPr="00E22F80" w:rsidRDefault="00983B12" w:rsidP="00983B12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-2026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CE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</w:tr>
      <w:tr w:rsidR="00983B12" w:rsidRPr="00E22F80" w14:paraId="7826421C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596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6C2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D18" w14:textId="77777777" w:rsidR="00983B12" w:rsidRPr="00983B12" w:rsidRDefault="00983B12" w:rsidP="00983B12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98A" w14:textId="77777777" w:rsidR="00983B12" w:rsidRPr="00E22F80" w:rsidRDefault="00983B12" w:rsidP="00E22F80">
            <w:pPr>
              <w:spacing w:after="255"/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</w:tr>
      <w:tr w:rsidR="00E22F80" w:rsidRPr="00E22F80" w14:paraId="3A63F53C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4994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709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Belmont Work Experience Youth</w:t>
            </w:r>
          </w:p>
          <w:p w14:paraId="1215D85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AE7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CAC of Belmont 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E6C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$281,800</w:t>
            </w:r>
          </w:p>
          <w:p w14:paraId="6210D26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$29,208 WIOA</w:t>
            </w:r>
          </w:p>
        </w:tc>
      </w:tr>
      <w:tr w:rsidR="00E22F80" w:rsidRPr="00E22F80" w14:paraId="007E0900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CD6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8A4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Belmont Leadership Devel</w:t>
            </w:r>
          </w:p>
          <w:p w14:paraId="58E4F04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D05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CAC of Belmont 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8F6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$60,618</w:t>
            </w:r>
          </w:p>
          <w:p w14:paraId="36A203F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$6,062 WIOA</w:t>
            </w:r>
          </w:p>
        </w:tc>
      </w:tr>
      <w:tr w:rsidR="00E22F80" w:rsidRPr="00E22F80" w14:paraId="3BF6F9AF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ED4F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E54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Belmont Adult Mentoring</w:t>
            </w:r>
          </w:p>
          <w:p w14:paraId="72D7209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43C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CAC of Belmont Co</w:t>
            </w:r>
          </w:p>
          <w:p w14:paraId="787AE35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$60,618</w:t>
            </w:r>
          </w:p>
          <w:p w14:paraId="1D6F7E1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$6,062 WIOA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B59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Not recommended for award</w:t>
            </w:r>
          </w:p>
        </w:tc>
      </w:tr>
      <w:tr w:rsidR="00E22F80" w:rsidRPr="00E22F80" w14:paraId="3CB582DA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7F4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6BF4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Belmont Adult Mentoring  </w:t>
            </w:r>
          </w:p>
          <w:p w14:paraId="5ABA7370" w14:textId="77777777" w:rsidR="00E22F80" w:rsidRPr="00E22F80" w:rsidRDefault="00E22F80" w:rsidP="00E22F80">
            <w:pPr>
              <w:tabs>
                <w:tab w:val="right" w:pos="3204"/>
              </w:tabs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2 Career Navigators</w:t>
            </w:r>
            <w:r w:rsidRPr="00E22F8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EB7D0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901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East Central Ohio ESC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9E7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$188,443</w:t>
            </w:r>
          </w:p>
          <w:p w14:paraId="1DFE37F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$18,844 WIOA</w:t>
            </w:r>
          </w:p>
        </w:tc>
      </w:tr>
      <w:tr w:rsidR="00E22F80" w:rsidRPr="00E22F80" w14:paraId="5901AF33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EA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E9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E7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DC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27EEB411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1DC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3F5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Carroll Work Experience</w:t>
            </w:r>
          </w:p>
          <w:p w14:paraId="24C23F8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041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F5B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See total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  <w:p w14:paraId="2AAF738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$123,716</w:t>
            </w:r>
          </w:p>
        </w:tc>
      </w:tr>
      <w:tr w:rsidR="00E22F80" w:rsidRPr="00E22F80" w14:paraId="20FF926D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D5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02F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Leadership</w:t>
            </w:r>
          </w:p>
          <w:p w14:paraId="7806367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Year 1 of 4 7/1/26-6/30/27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5B6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AAAE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See total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  <w:p w14:paraId="25509F64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$  30,603</w:t>
            </w:r>
            <w:proofErr w:type="gramEnd"/>
          </w:p>
        </w:tc>
      </w:tr>
      <w:tr w:rsidR="00E22F80" w:rsidRPr="00E22F80" w14:paraId="042937DC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3F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547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Financial Literacy</w:t>
            </w:r>
          </w:p>
          <w:p w14:paraId="44719F3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09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D03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See total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  <w:p w14:paraId="23475F8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$  30,603</w:t>
            </w:r>
            <w:proofErr w:type="gramEnd"/>
          </w:p>
        </w:tc>
      </w:tr>
      <w:tr w:rsidR="00E22F80" w:rsidRPr="00E22F80" w14:paraId="77F070F8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6A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C3E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Total for 3 services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A3E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611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$184,922</w:t>
            </w:r>
          </w:p>
          <w:p w14:paraId="70F1665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$56,333 WIOA</w:t>
            </w:r>
          </w:p>
        </w:tc>
      </w:tr>
      <w:tr w:rsidR="00E22F80" w:rsidRPr="00E22F80" w14:paraId="0B182DE2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80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B3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5B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2E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724F95D2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D8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D7F2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Harrison Work Experience</w:t>
            </w:r>
          </w:p>
          <w:p w14:paraId="4E10061A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 w:rsidRPr="00E22F80"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 w:rsidRPr="00E22F80"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ED3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FB5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$185,000</w:t>
            </w:r>
          </w:p>
          <w:p w14:paraId="2664564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$48,425WIOA</w:t>
            </w:r>
          </w:p>
        </w:tc>
      </w:tr>
      <w:tr w:rsidR="00E22F80" w:rsidRPr="00E22F80" w14:paraId="2C3EBBD6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EE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AD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409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21F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38BF9C77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BBC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ECF4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Work Experience</w:t>
            </w:r>
          </w:p>
          <w:p w14:paraId="78772BDF" w14:textId="0F1022C9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4  </w:t>
            </w:r>
            <w:r w:rsidR="00983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F80">
              <w:rPr>
                <w:rFonts w:ascii="Arial" w:hAnsi="Arial" w:cs="Arial"/>
                <w:sz w:val="20"/>
                <w:szCs w:val="20"/>
              </w:rPr>
              <w:t>7/1/2</w:t>
            </w:r>
            <w:r w:rsidR="00983B12">
              <w:rPr>
                <w:rFonts w:ascii="Arial" w:hAnsi="Arial" w:cs="Arial"/>
                <w:sz w:val="20"/>
                <w:szCs w:val="20"/>
              </w:rPr>
              <w:t>6</w:t>
            </w:r>
            <w:r w:rsidRPr="00E22F80">
              <w:rPr>
                <w:rFonts w:ascii="Arial" w:hAnsi="Arial" w:cs="Arial"/>
                <w:sz w:val="20"/>
                <w:szCs w:val="20"/>
              </w:rPr>
              <w:t>-6/30/2</w:t>
            </w:r>
            <w:r w:rsidR="00072E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050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5AB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$515,081</w:t>
            </w:r>
          </w:p>
          <w:p w14:paraId="2F6E625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$206,032 WIOA</w:t>
            </w:r>
          </w:p>
        </w:tc>
      </w:tr>
      <w:tr w:rsidR="00E22F80" w:rsidRPr="00E22F80" w14:paraId="0E702829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A8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  <w:p w14:paraId="6BB8741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2C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Leadership Devel.</w:t>
            </w:r>
          </w:p>
          <w:p w14:paraId="4F7EE1AE" w14:textId="55A90803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983B12">
              <w:rPr>
                <w:rFonts w:ascii="Arial" w:hAnsi="Arial" w:cs="Arial"/>
                <w:sz w:val="20"/>
                <w:szCs w:val="20"/>
              </w:rPr>
              <w:t>1</w:t>
            </w:r>
            <w:r w:rsidRPr="00E22F80">
              <w:rPr>
                <w:rFonts w:ascii="Arial" w:hAnsi="Arial" w:cs="Arial"/>
                <w:sz w:val="20"/>
                <w:szCs w:val="20"/>
              </w:rPr>
              <w:t xml:space="preserve"> of 4  </w:t>
            </w:r>
            <w:r w:rsidR="00983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F80">
              <w:rPr>
                <w:rFonts w:ascii="Arial" w:hAnsi="Arial" w:cs="Arial"/>
                <w:sz w:val="20"/>
                <w:szCs w:val="20"/>
              </w:rPr>
              <w:t>7/1/25-6/30/2</w:t>
            </w:r>
            <w:r w:rsidR="00983B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C28D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7C1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$21,000</w:t>
            </w:r>
          </w:p>
          <w:p w14:paraId="7E4DEC5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$10,500 WIOA</w:t>
            </w:r>
          </w:p>
        </w:tc>
      </w:tr>
      <w:tr w:rsidR="00E22F80" w:rsidRPr="00E22F80" w14:paraId="6970E1A3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80B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551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01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545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7FD3D749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7C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11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 Youth Design and Framework</w:t>
            </w:r>
          </w:p>
          <w:p w14:paraId="20305FB7" w14:textId="32A3EC32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 xml:space="preserve">Year 1 of 4  </w:t>
            </w:r>
            <w:r w:rsidR="00983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F80">
              <w:rPr>
                <w:rFonts w:ascii="Arial" w:hAnsi="Arial" w:cs="Arial"/>
                <w:sz w:val="20"/>
                <w:szCs w:val="20"/>
              </w:rPr>
              <w:t>7/1/26-6/30/</w:t>
            </w:r>
            <w:r w:rsidR="00983B12">
              <w:rPr>
                <w:rFonts w:ascii="Arial" w:hAnsi="Arial" w:cs="Arial"/>
                <w:sz w:val="20"/>
                <w:szCs w:val="20"/>
              </w:rPr>
              <w:t>2</w:t>
            </w:r>
            <w:r w:rsidRPr="00E22F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B09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8B23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$297,673</w:t>
            </w:r>
          </w:p>
          <w:p w14:paraId="06F1A85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Not including Work Exp or Leadership</w:t>
            </w:r>
          </w:p>
        </w:tc>
      </w:tr>
      <w:tr w:rsidR="00E22F80" w:rsidRPr="00E22F80" w14:paraId="2D0F11CE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8DF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EDF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E3A" w14:textId="4420F0B4" w:rsidR="00E22F80" w:rsidRPr="00C44990" w:rsidRDefault="00983B12" w:rsidP="00983B12">
            <w:pPr>
              <w:spacing w:after="25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Items15-39 above, excluding Item 17, recommended WDB16 15-2026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046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F80" w:rsidRPr="00E22F80" w14:paraId="3D8C10A0" w14:textId="77777777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E467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11B8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RESEA Area Service Contract</w:t>
            </w:r>
          </w:p>
          <w:p w14:paraId="73799290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7/1/26-6/30/27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6712" w14:textId="42E140FC" w:rsidR="00983B12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Jefferson Co. CAC Inc.</w:t>
            </w:r>
          </w:p>
          <w:p w14:paraId="42BD6B28" w14:textId="77777777" w:rsidR="00983B12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D935E43" w14:textId="77777777" w:rsidR="00983B12" w:rsidRPr="00C44990" w:rsidRDefault="00983B12" w:rsidP="00983B12">
            <w:pPr>
              <w:spacing w:after="25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ecommended WDB16 </w:t>
            </w:r>
          </w:p>
          <w:p w14:paraId="078FF2A8" w14:textId="41207AD3" w:rsidR="00983B12" w:rsidRPr="00C44990" w:rsidRDefault="00983B12" w:rsidP="00983B12">
            <w:pPr>
              <w:spacing w:after="25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C44990">
              <w:rPr>
                <w:rFonts w:ascii="Arial" w:hAnsi="Arial" w:cs="Arial"/>
                <w:i/>
                <w:iCs/>
                <w:sz w:val="20"/>
                <w:szCs w:val="20"/>
              </w:rPr>
              <w:t>-2026</w:t>
            </w:r>
          </w:p>
          <w:p w14:paraId="4E5A249A" w14:textId="77777777" w:rsidR="00983B12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EAE733A" w14:textId="77777777" w:rsidR="00983B12" w:rsidRDefault="00983B12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9F88C89" w14:textId="2BEE7D2D" w:rsidR="00983B12" w:rsidRPr="00E22F80" w:rsidRDefault="00983B12" w:rsidP="00983B12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1EBC" w14:textId="77777777" w:rsidR="00E22F80" w:rsidRPr="00E22F80" w:rsidRDefault="00E22F80" w:rsidP="00E22F80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2F80">
              <w:rPr>
                <w:rFonts w:ascii="Arial" w:hAnsi="Arial" w:cs="Arial"/>
                <w:sz w:val="20"/>
                <w:szCs w:val="20"/>
              </w:rPr>
              <w:t>RESEA allocation to the area, not to exceed $85,000 until State issues new allocations</w:t>
            </w:r>
          </w:p>
        </w:tc>
      </w:tr>
    </w:tbl>
    <w:p w14:paraId="4166AD8E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1B1CFBDA" w14:textId="71337428" w:rsidR="00E22F80" w:rsidRPr="00E22F80" w:rsidRDefault="00E22F80" w:rsidP="00E22F80">
      <w:pPr>
        <w:spacing w:line="240" w:lineRule="auto"/>
        <w:rPr>
          <w:rFonts w:ascii="Aptos" w:eastAsia="Aptos" w:hAnsi="Aptos" w:cs="Times New Roman"/>
          <w:bCs/>
        </w:rPr>
      </w:pPr>
    </w:p>
    <w:p w14:paraId="41F696D0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2C048161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ptos" w:eastAsia="Aptos" w:hAnsi="Aptos" w:cs="Times New Roman"/>
          <w:b/>
        </w:rPr>
      </w:pPr>
      <w:r w:rsidRPr="00E22F80">
        <w:rPr>
          <w:rFonts w:ascii="Aptos" w:eastAsia="Aptos" w:hAnsi="Aptos" w:cs="Times New Roman"/>
          <w:b/>
        </w:rPr>
        <w:t xml:space="preserve">Staff to the Board Contract </w:t>
      </w:r>
    </w:p>
    <w:p w14:paraId="2E7872CF" w14:textId="584FAC03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  <w:r w:rsidRPr="00E22F80">
        <w:rPr>
          <w:rFonts w:ascii="Aptos" w:eastAsia="Aptos" w:hAnsi="Aptos" w:cs="Times New Roman"/>
          <w:bCs/>
        </w:rPr>
        <w:t xml:space="preserve">Approve </w:t>
      </w:r>
      <w:r w:rsidR="00983B12">
        <w:rPr>
          <w:rFonts w:ascii="Aptos" w:eastAsia="Aptos" w:hAnsi="Aptos" w:cs="Times New Roman"/>
          <w:bCs/>
        </w:rPr>
        <w:t>Rebecca</w:t>
      </w:r>
      <w:r w:rsidR="00DA5E8E">
        <w:rPr>
          <w:rFonts w:ascii="Aptos" w:eastAsia="Aptos" w:hAnsi="Aptos" w:cs="Times New Roman"/>
          <w:bCs/>
        </w:rPr>
        <w:t xml:space="preserve"> </w:t>
      </w:r>
      <w:r w:rsidR="00983B12">
        <w:rPr>
          <w:rFonts w:ascii="Aptos" w:eastAsia="Aptos" w:hAnsi="Aptos" w:cs="Times New Roman"/>
          <w:bCs/>
        </w:rPr>
        <w:t>F.</w:t>
      </w:r>
      <w:r w:rsidR="00DA5E8E">
        <w:rPr>
          <w:rFonts w:ascii="Aptos" w:eastAsia="Aptos" w:hAnsi="Aptos" w:cs="Times New Roman"/>
          <w:bCs/>
        </w:rPr>
        <w:t xml:space="preserve"> </w:t>
      </w:r>
      <w:r w:rsidR="00983B12">
        <w:rPr>
          <w:rFonts w:ascii="Aptos" w:eastAsia="Aptos" w:hAnsi="Aptos" w:cs="Times New Roman"/>
          <w:bCs/>
        </w:rPr>
        <w:t>S</w:t>
      </w:r>
      <w:r w:rsidR="00DA5E8E">
        <w:rPr>
          <w:rFonts w:ascii="Aptos" w:eastAsia="Aptos" w:hAnsi="Aptos" w:cs="Times New Roman"/>
          <w:bCs/>
        </w:rPr>
        <w:t>afko</w:t>
      </w:r>
      <w:r w:rsidRPr="00E22F80">
        <w:rPr>
          <w:rFonts w:ascii="Aptos" w:eastAsia="Aptos" w:hAnsi="Aptos" w:cs="Times New Roman"/>
          <w:bCs/>
        </w:rPr>
        <w:t xml:space="preserve">   for year 1 of 4 years</w:t>
      </w:r>
      <w:r w:rsidR="00DA5E8E">
        <w:rPr>
          <w:rFonts w:ascii="Aptos" w:eastAsia="Aptos" w:hAnsi="Aptos" w:cs="Times New Roman"/>
          <w:bCs/>
        </w:rPr>
        <w:t xml:space="preserve"> (7/1/26 to 6/30/27)</w:t>
      </w:r>
      <w:r w:rsidRPr="00E22F80">
        <w:rPr>
          <w:rFonts w:ascii="Aptos" w:eastAsia="Aptos" w:hAnsi="Aptos" w:cs="Times New Roman"/>
          <w:bCs/>
        </w:rPr>
        <w:t xml:space="preserve"> for $</w:t>
      </w:r>
      <w:r w:rsidR="00DA5E8E">
        <w:rPr>
          <w:rFonts w:ascii="Aptos" w:eastAsia="Aptos" w:hAnsi="Aptos" w:cs="Times New Roman"/>
          <w:bCs/>
        </w:rPr>
        <w:t>67,600</w:t>
      </w:r>
      <w:r w:rsidR="00DA5E8E" w:rsidRPr="00E22F80">
        <w:rPr>
          <w:rFonts w:ascii="Aptos" w:eastAsia="Aptos" w:hAnsi="Aptos" w:cs="Times New Roman"/>
          <w:bCs/>
        </w:rPr>
        <w:t xml:space="preserve"> per</w:t>
      </w:r>
      <w:r w:rsidRPr="00E22F80">
        <w:rPr>
          <w:rFonts w:ascii="Aptos" w:eastAsia="Aptos" w:hAnsi="Aptos" w:cs="Times New Roman"/>
          <w:bCs/>
        </w:rPr>
        <w:t xml:space="preserve"> year, to provide Staff to the Board services to WDB16.</w:t>
      </w:r>
    </w:p>
    <w:p w14:paraId="25CE98B3" w14:textId="3173122C" w:rsidR="00E22F80" w:rsidRPr="00E22F80" w:rsidRDefault="00E22F80" w:rsidP="00E22F80">
      <w:pPr>
        <w:spacing w:after="0" w:line="240" w:lineRule="auto"/>
        <w:rPr>
          <w:rFonts w:ascii="Aptos" w:eastAsia="Aptos" w:hAnsi="Aptos" w:cs="Times New Roman"/>
          <w:bCs/>
        </w:rPr>
      </w:pPr>
      <w:r>
        <w:rPr>
          <w:rFonts w:ascii="Aptos" w:eastAsia="Aptos" w:hAnsi="Aptos" w:cs="Times New Roman"/>
          <w:bCs/>
        </w:rPr>
        <w:t xml:space="preserve">(Recommended for approval by WDB16 </w:t>
      </w:r>
      <w:r w:rsidR="00983B12">
        <w:rPr>
          <w:rFonts w:ascii="Aptos" w:eastAsia="Aptos" w:hAnsi="Aptos" w:cs="Times New Roman"/>
          <w:bCs/>
        </w:rPr>
        <w:t>17</w:t>
      </w:r>
      <w:r>
        <w:rPr>
          <w:rFonts w:ascii="Aptos" w:eastAsia="Aptos" w:hAnsi="Aptos" w:cs="Times New Roman"/>
          <w:bCs/>
        </w:rPr>
        <w:t>-2026)</w:t>
      </w:r>
    </w:p>
    <w:p w14:paraId="01C4CF24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764B4FD2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ptos" w:eastAsia="Aptos" w:hAnsi="Aptos" w:cs="Times New Roman"/>
          <w:b/>
        </w:rPr>
      </w:pPr>
      <w:r w:rsidRPr="00E22F80">
        <w:rPr>
          <w:rFonts w:ascii="Aptos" w:eastAsia="Aptos" w:hAnsi="Aptos" w:cs="Times New Roman"/>
          <w:b/>
        </w:rPr>
        <w:t>AI Special Project Contract with Rob Guentter, RFG Associates Inc.</w:t>
      </w:r>
    </w:p>
    <w:p w14:paraId="6EFDD0EE" w14:textId="2FD80B5F" w:rsidR="00E22F80" w:rsidRPr="00E22F80" w:rsidRDefault="00E22F80" w:rsidP="00E22F80">
      <w:pPr>
        <w:spacing w:after="0" w:line="240" w:lineRule="auto"/>
        <w:rPr>
          <w:rFonts w:ascii="Aptos" w:eastAsia="Aptos" w:hAnsi="Aptos" w:cs="Times New Roman"/>
          <w:bCs/>
        </w:rPr>
      </w:pPr>
      <w:proofErr w:type="gramStart"/>
      <w:r w:rsidRPr="00E22F80">
        <w:rPr>
          <w:rFonts w:ascii="Aptos" w:eastAsia="Aptos" w:hAnsi="Aptos" w:cs="Times New Roman"/>
          <w:bCs/>
        </w:rPr>
        <w:t>Approve</w:t>
      </w:r>
      <w:proofErr w:type="gramEnd"/>
      <w:r w:rsidRPr="00E22F80">
        <w:rPr>
          <w:rFonts w:ascii="Aptos" w:eastAsia="Aptos" w:hAnsi="Aptos" w:cs="Times New Roman"/>
          <w:bCs/>
        </w:rPr>
        <w:t xml:space="preserve"> $7,200.00 of AI Special Project budgeted funds plus documented mileage reimbursement for RFG Associates to provide up to 80 hours of technical support and guidance to the AI Intake and Case Management project. </w:t>
      </w:r>
      <w:r>
        <w:rPr>
          <w:rFonts w:ascii="Aptos" w:eastAsia="Aptos" w:hAnsi="Aptos" w:cs="Times New Roman"/>
          <w:bCs/>
        </w:rPr>
        <w:t xml:space="preserve"> (Recommended for approval by WDB16 </w:t>
      </w:r>
      <w:r w:rsidR="00983B12">
        <w:rPr>
          <w:rFonts w:ascii="Aptos" w:eastAsia="Aptos" w:hAnsi="Aptos" w:cs="Times New Roman"/>
          <w:bCs/>
        </w:rPr>
        <w:t>18</w:t>
      </w:r>
      <w:r>
        <w:rPr>
          <w:rFonts w:ascii="Aptos" w:eastAsia="Aptos" w:hAnsi="Aptos" w:cs="Times New Roman"/>
          <w:bCs/>
        </w:rPr>
        <w:t>-2026)</w:t>
      </w:r>
    </w:p>
    <w:p w14:paraId="424230E4" w14:textId="1A45290F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0D5D59F6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/>
        </w:rPr>
      </w:pPr>
    </w:p>
    <w:p w14:paraId="5150D98E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ptos" w:eastAsia="Aptos" w:hAnsi="Aptos" w:cs="Times New Roman"/>
          <w:b/>
        </w:rPr>
      </w:pPr>
      <w:r w:rsidRPr="00E22F80">
        <w:rPr>
          <w:rFonts w:ascii="Aptos" w:eastAsia="Aptos" w:hAnsi="Aptos" w:cs="Times New Roman"/>
          <w:b/>
        </w:rPr>
        <w:t xml:space="preserve"> Other Business</w:t>
      </w:r>
    </w:p>
    <w:p w14:paraId="25B6F65A" w14:textId="77777777" w:rsidR="00E22F80" w:rsidRPr="00E22F80" w:rsidRDefault="00E22F80" w:rsidP="00E22F80">
      <w:pPr>
        <w:spacing w:line="256" w:lineRule="auto"/>
        <w:ind w:left="720"/>
        <w:contextualSpacing/>
        <w:rPr>
          <w:rFonts w:ascii="Aptos" w:eastAsia="Aptos" w:hAnsi="Aptos" w:cs="Times New Roman"/>
          <w:b/>
        </w:rPr>
      </w:pPr>
    </w:p>
    <w:p w14:paraId="7715A565" w14:textId="77777777" w:rsidR="00E22F80" w:rsidRPr="00E22F80" w:rsidRDefault="00E22F80" w:rsidP="00E22F80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Aptos" w:eastAsia="Aptos" w:hAnsi="Aptos" w:cs="Times New Roman"/>
          <w:b/>
        </w:rPr>
      </w:pPr>
      <w:r w:rsidRPr="00E22F80">
        <w:rPr>
          <w:rFonts w:ascii="Aptos" w:eastAsia="Aptos" w:hAnsi="Aptos" w:cs="Times New Roman"/>
          <w:b/>
        </w:rPr>
        <w:t xml:space="preserve">Retirement recognition for Rob Guentter </w:t>
      </w:r>
    </w:p>
    <w:p w14:paraId="14771791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/>
        </w:rPr>
      </w:pPr>
    </w:p>
    <w:p w14:paraId="37CFE387" w14:textId="77777777" w:rsidR="00E22F80" w:rsidRPr="00E22F80" w:rsidRDefault="00E22F80" w:rsidP="00E22F80">
      <w:pPr>
        <w:spacing w:line="240" w:lineRule="auto"/>
        <w:contextualSpacing/>
        <w:rPr>
          <w:rFonts w:ascii="Aptos" w:eastAsia="Aptos" w:hAnsi="Aptos" w:cs="Times New Roman"/>
          <w:bCs/>
        </w:rPr>
      </w:pPr>
    </w:p>
    <w:p w14:paraId="4F2977F3" w14:textId="77777777" w:rsidR="005D68FA" w:rsidRPr="005D68FA" w:rsidRDefault="005D68FA" w:rsidP="005D68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5BD5B6" w14:textId="01EF5778" w:rsidR="00E55E42" w:rsidRPr="00E22F80" w:rsidRDefault="00E55E42" w:rsidP="009A53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B95B7F">
        <w:rPr>
          <w:rFonts w:ascii="Arial" w:hAnsi="Arial" w:cs="Arial"/>
          <w:sz w:val="20"/>
          <w:szCs w:val="20"/>
        </w:rPr>
        <w:t xml:space="preserve"> </w:t>
      </w:r>
      <w:r w:rsidRPr="00CA06D0">
        <w:rPr>
          <w:rFonts w:ascii="Arial" w:hAnsi="Arial" w:cs="Arial"/>
          <w:b/>
          <w:bCs/>
          <w:sz w:val="28"/>
          <w:szCs w:val="28"/>
        </w:rPr>
        <w:t xml:space="preserve">Next Meetings –    </w:t>
      </w:r>
      <w:r w:rsidRPr="00B95B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5B7F">
        <w:rPr>
          <w:b/>
          <w:bCs/>
          <w:sz w:val="32"/>
          <w:szCs w:val="32"/>
        </w:rPr>
        <w:t xml:space="preserve">Fri </w:t>
      </w:r>
      <w:r w:rsidR="00E22F80">
        <w:rPr>
          <w:b/>
          <w:bCs/>
          <w:sz w:val="32"/>
          <w:szCs w:val="32"/>
        </w:rPr>
        <w:t>September</w:t>
      </w:r>
      <w:r w:rsidR="00622DA3">
        <w:rPr>
          <w:b/>
          <w:bCs/>
          <w:sz w:val="32"/>
          <w:szCs w:val="32"/>
        </w:rPr>
        <w:t>1</w:t>
      </w:r>
      <w:r w:rsidR="00E22F80">
        <w:rPr>
          <w:b/>
          <w:bCs/>
          <w:sz w:val="32"/>
          <w:szCs w:val="32"/>
        </w:rPr>
        <w:t>18</w:t>
      </w:r>
      <w:r w:rsidR="00F5400F">
        <w:rPr>
          <w:b/>
          <w:bCs/>
          <w:sz w:val="32"/>
          <w:szCs w:val="32"/>
        </w:rPr>
        <w:t>,</w:t>
      </w:r>
      <w:r w:rsidRPr="00B95B7F">
        <w:rPr>
          <w:b/>
          <w:bCs/>
          <w:sz w:val="32"/>
          <w:szCs w:val="32"/>
        </w:rPr>
        <w:t xml:space="preserve"> </w:t>
      </w:r>
      <w:r w:rsidR="0076562C">
        <w:rPr>
          <w:b/>
          <w:bCs/>
          <w:sz w:val="32"/>
          <w:szCs w:val="32"/>
        </w:rPr>
        <w:t>2026</w:t>
      </w:r>
      <w:r w:rsidRPr="00B95B7F">
        <w:rPr>
          <w:b/>
          <w:bCs/>
          <w:sz w:val="32"/>
          <w:szCs w:val="32"/>
        </w:rPr>
        <w:t xml:space="preserve">   10am Cadiz</w:t>
      </w:r>
    </w:p>
    <w:p w14:paraId="25581A93" w14:textId="6E326261" w:rsidR="00E22F80" w:rsidRPr="00E22F80" w:rsidRDefault="00E22F80" w:rsidP="00E22F80">
      <w:pPr>
        <w:pStyle w:val="ListParagraph"/>
        <w:spacing w:after="0" w:line="240" w:lineRule="auto"/>
        <w:ind w:left="540"/>
        <w:rPr>
          <w:sz w:val="28"/>
          <w:szCs w:val="28"/>
        </w:rPr>
      </w:pPr>
      <w:r w:rsidRPr="00E22F8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</w:t>
      </w:r>
      <w:r w:rsidRPr="00E22F80">
        <w:rPr>
          <w:sz w:val="28"/>
          <w:szCs w:val="28"/>
        </w:rPr>
        <w:t xml:space="preserve"> </w:t>
      </w:r>
      <w:r>
        <w:rPr>
          <w:sz w:val="28"/>
          <w:szCs w:val="28"/>
        </w:rPr>
        <w:t>Last meeting of 2026</w:t>
      </w:r>
      <w:proofErr w:type="gramStart"/>
      <w:r>
        <w:rPr>
          <w:sz w:val="28"/>
          <w:szCs w:val="28"/>
        </w:rPr>
        <w:t xml:space="preserve">: </w:t>
      </w:r>
      <w:r w:rsidRPr="00E22F80">
        <w:rPr>
          <w:sz w:val="28"/>
          <w:szCs w:val="28"/>
        </w:rPr>
        <w:t xml:space="preserve"> 12</w:t>
      </w:r>
      <w:proofErr w:type="gramEnd"/>
      <w:r w:rsidRPr="00E22F80">
        <w:rPr>
          <w:sz w:val="28"/>
          <w:szCs w:val="28"/>
        </w:rPr>
        <w:t>/11/26</w:t>
      </w:r>
    </w:p>
    <w:p w14:paraId="5F254B9D" w14:textId="77777777" w:rsidR="007D16D6" w:rsidRDefault="007D16D6" w:rsidP="009A53B1">
      <w:pPr>
        <w:spacing w:after="0" w:line="240" w:lineRule="auto"/>
      </w:pPr>
    </w:p>
    <w:p w14:paraId="68F054ED" w14:textId="77777777" w:rsidR="00DA5E8E" w:rsidRPr="007D16D6" w:rsidRDefault="00DA5E8E" w:rsidP="009A53B1">
      <w:pPr>
        <w:spacing w:after="0" w:line="240" w:lineRule="auto"/>
      </w:pPr>
    </w:p>
    <w:p w14:paraId="441DA45C" w14:textId="79C62208" w:rsidR="000F46A5" w:rsidRPr="0061247A" w:rsidRDefault="00E55E42" w:rsidP="009A53B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1247A">
        <w:rPr>
          <w:bCs/>
        </w:rPr>
        <w:t>Adjournment</w:t>
      </w:r>
    </w:p>
    <w:sectPr w:rsidR="000F46A5" w:rsidRPr="0061247A" w:rsidSect="001A012E">
      <w:footerReference w:type="default" r:id="rId9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C742" w14:textId="77777777" w:rsidR="007B2CD1" w:rsidRDefault="007B2CD1" w:rsidP="00210C5B">
      <w:pPr>
        <w:spacing w:after="0" w:line="240" w:lineRule="auto"/>
      </w:pPr>
      <w:r>
        <w:separator/>
      </w:r>
    </w:p>
  </w:endnote>
  <w:endnote w:type="continuationSeparator" w:id="0">
    <w:p w14:paraId="2711B689" w14:textId="77777777" w:rsidR="007B2CD1" w:rsidRDefault="007B2CD1" w:rsidP="002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6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63077" w14:textId="3A5FC833" w:rsidR="009A53B1" w:rsidRDefault="009A5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6949D" w14:textId="77777777" w:rsidR="00D13773" w:rsidRDefault="00D13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C053" w14:textId="77777777" w:rsidR="007B2CD1" w:rsidRDefault="007B2CD1" w:rsidP="00210C5B">
      <w:pPr>
        <w:spacing w:after="0" w:line="240" w:lineRule="auto"/>
      </w:pPr>
      <w:r>
        <w:separator/>
      </w:r>
    </w:p>
  </w:footnote>
  <w:footnote w:type="continuationSeparator" w:id="0">
    <w:p w14:paraId="0C5A06A6" w14:textId="77777777" w:rsidR="007B2CD1" w:rsidRDefault="007B2CD1" w:rsidP="0021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8F"/>
    <w:multiLevelType w:val="hybridMultilevel"/>
    <w:tmpl w:val="E86E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31F"/>
    <w:multiLevelType w:val="hybridMultilevel"/>
    <w:tmpl w:val="61B6F13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00D5"/>
    <w:multiLevelType w:val="hybridMultilevel"/>
    <w:tmpl w:val="4386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9FF"/>
    <w:multiLevelType w:val="hybridMultilevel"/>
    <w:tmpl w:val="F3604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95CEB"/>
    <w:multiLevelType w:val="hybridMultilevel"/>
    <w:tmpl w:val="0BE6C0F6"/>
    <w:lvl w:ilvl="0" w:tplc="4E709D1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584A8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40D5"/>
    <w:multiLevelType w:val="hybridMultilevel"/>
    <w:tmpl w:val="ED580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D313F3"/>
    <w:multiLevelType w:val="hybridMultilevel"/>
    <w:tmpl w:val="CB60A1A6"/>
    <w:lvl w:ilvl="0" w:tplc="5F04878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2728D2"/>
    <w:multiLevelType w:val="hybridMultilevel"/>
    <w:tmpl w:val="B45A91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113B7"/>
    <w:multiLevelType w:val="hybridMultilevel"/>
    <w:tmpl w:val="351262F6"/>
    <w:lvl w:ilvl="0" w:tplc="0409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 w15:restartNumberingAfterBreak="0">
    <w:nsid w:val="25E0440C"/>
    <w:multiLevelType w:val="hybridMultilevel"/>
    <w:tmpl w:val="48E4E84E"/>
    <w:lvl w:ilvl="0" w:tplc="C1D2322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5F01C96"/>
    <w:multiLevelType w:val="hybridMultilevel"/>
    <w:tmpl w:val="8F760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A4EA2"/>
    <w:multiLevelType w:val="hybridMultilevel"/>
    <w:tmpl w:val="D8CC85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9D3388"/>
    <w:multiLevelType w:val="hybridMultilevel"/>
    <w:tmpl w:val="2D7C7A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7516B7F"/>
    <w:multiLevelType w:val="hybridMultilevel"/>
    <w:tmpl w:val="7C9C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75D9"/>
    <w:multiLevelType w:val="hybridMultilevel"/>
    <w:tmpl w:val="E25EAE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64E6C23"/>
    <w:multiLevelType w:val="hybridMultilevel"/>
    <w:tmpl w:val="6E2C2C3A"/>
    <w:lvl w:ilvl="0" w:tplc="0409000D">
      <w:start w:val="1"/>
      <w:numFmt w:val="bullet"/>
      <w:lvlText w:val="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6" w15:restartNumberingAfterBreak="0">
    <w:nsid w:val="4E683DFC"/>
    <w:multiLevelType w:val="hybridMultilevel"/>
    <w:tmpl w:val="64A0B3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BE1D95"/>
    <w:multiLevelType w:val="hybridMultilevel"/>
    <w:tmpl w:val="42204558"/>
    <w:lvl w:ilvl="0" w:tplc="0409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8" w15:restartNumberingAfterBreak="0">
    <w:nsid w:val="58E874A1"/>
    <w:multiLevelType w:val="hybridMultilevel"/>
    <w:tmpl w:val="E9564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903FA8"/>
    <w:multiLevelType w:val="hybridMultilevel"/>
    <w:tmpl w:val="9F40DCC6"/>
    <w:lvl w:ilvl="0" w:tplc="04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DF83B48"/>
    <w:multiLevelType w:val="hybridMultilevel"/>
    <w:tmpl w:val="D9C2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0D3352"/>
    <w:multiLevelType w:val="hybridMultilevel"/>
    <w:tmpl w:val="63F293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235DC"/>
    <w:multiLevelType w:val="hybridMultilevel"/>
    <w:tmpl w:val="CD663C4C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3" w15:restartNumberingAfterBreak="0">
    <w:nsid w:val="71CC6867"/>
    <w:multiLevelType w:val="hybridMultilevel"/>
    <w:tmpl w:val="E962FC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2C4AD6"/>
    <w:multiLevelType w:val="hybridMultilevel"/>
    <w:tmpl w:val="0BE6C0F6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B3BF4"/>
    <w:multiLevelType w:val="hybridMultilevel"/>
    <w:tmpl w:val="9F82BC36"/>
    <w:lvl w:ilvl="0" w:tplc="8672657C">
      <w:start w:val="6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760C7D3F"/>
    <w:multiLevelType w:val="hybridMultilevel"/>
    <w:tmpl w:val="67F246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6F44E5E"/>
    <w:multiLevelType w:val="hybridMultilevel"/>
    <w:tmpl w:val="30847F46"/>
    <w:lvl w:ilvl="0" w:tplc="F392D56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0654D"/>
    <w:multiLevelType w:val="hybridMultilevel"/>
    <w:tmpl w:val="9FE8FF80"/>
    <w:lvl w:ilvl="0" w:tplc="E9725B0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7264434"/>
    <w:multiLevelType w:val="hybridMultilevel"/>
    <w:tmpl w:val="718A5D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C22333"/>
    <w:multiLevelType w:val="hybridMultilevel"/>
    <w:tmpl w:val="79ECB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8598788">
    <w:abstractNumId w:val="4"/>
  </w:num>
  <w:num w:numId="2" w16cid:durableId="764375651">
    <w:abstractNumId w:val="7"/>
  </w:num>
  <w:num w:numId="3" w16cid:durableId="245891076">
    <w:abstractNumId w:val="23"/>
  </w:num>
  <w:num w:numId="4" w16cid:durableId="999236064">
    <w:abstractNumId w:val="25"/>
  </w:num>
  <w:num w:numId="5" w16cid:durableId="1505511620">
    <w:abstractNumId w:val="15"/>
  </w:num>
  <w:num w:numId="6" w16cid:durableId="1599413403">
    <w:abstractNumId w:val="8"/>
  </w:num>
  <w:num w:numId="7" w16cid:durableId="1563757249">
    <w:abstractNumId w:val="17"/>
  </w:num>
  <w:num w:numId="8" w16cid:durableId="580800135">
    <w:abstractNumId w:val="16"/>
  </w:num>
  <w:num w:numId="9" w16cid:durableId="1413428536">
    <w:abstractNumId w:val="19"/>
  </w:num>
  <w:num w:numId="10" w16cid:durableId="1576016570">
    <w:abstractNumId w:val="2"/>
  </w:num>
  <w:num w:numId="11" w16cid:durableId="993146739">
    <w:abstractNumId w:val="29"/>
  </w:num>
  <w:num w:numId="12" w16cid:durableId="599415333">
    <w:abstractNumId w:val="3"/>
  </w:num>
  <w:num w:numId="13" w16cid:durableId="164322103">
    <w:abstractNumId w:val="12"/>
  </w:num>
  <w:num w:numId="14" w16cid:durableId="435638913">
    <w:abstractNumId w:val="28"/>
  </w:num>
  <w:num w:numId="15" w16cid:durableId="961183333">
    <w:abstractNumId w:val="6"/>
  </w:num>
  <w:num w:numId="16" w16cid:durableId="1988703047">
    <w:abstractNumId w:val="9"/>
  </w:num>
  <w:num w:numId="17" w16cid:durableId="2025666216">
    <w:abstractNumId w:val="21"/>
  </w:num>
  <w:num w:numId="18" w16cid:durableId="1735813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90649">
    <w:abstractNumId w:val="23"/>
  </w:num>
  <w:num w:numId="20" w16cid:durableId="1442724129">
    <w:abstractNumId w:val="30"/>
  </w:num>
  <w:num w:numId="21" w16cid:durableId="1021323927">
    <w:abstractNumId w:val="27"/>
  </w:num>
  <w:num w:numId="22" w16cid:durableId="487673540">
    <w:abstractNumId w:val="1"/>
  </w:num>
  <w:num w:numId="23" w16cid:durableId="853035704">
    <w:abstractNumId w:val="11"/>
  </w:num>
  <w:num w:numId="24" w16cid:durableId="884410533">
    <w:abstractNumId w:val="18"/>
  </w:num>
  <w:num w:numId="25" w16cid:durableId="1126119842">
    <w:abstractNumId w:val="14"/>
  </w:num>
  <w:num w:numId="26" w16cid:durableId="945192383">
    <w:abstractNumId w:val="20"/>
  </w:num>
  <w:num w:numId="27" w16cid:durableId="1454205017">
    <w:abstractNumId w:val="26"/>
  </w:num>
  <w:num w:numId="28" w16cid:durableId="1838693180">
    <w:abstractNumId w:val="13"/>
  </w:num>
  <w:num w:numId="29" w16cid:durableId="1012151769">
    <w:abstractNumId w:val="5"/>
  </w:num>
  <w:num w:numId="30" w16cid:durableId="40597084">
    <w:abstractNumId w:val="22"/>
  </w:num>
  <w:num w:numId="31" w16cid:durableId="879240455">
    <w:abstractNumId w:val="10"/>
  </w:num>
  <w:num w:numId="32" w16cid:durableId="268589888">
    <w:abstractNumId w:val="0"/>
  </w:num>
  <w:num w:numId="33" w16cid:durableId="1961957076">
    <w:abstractNumId w:val="7"/>
  </w:num>
  <w:num w:numId="34" w16cid:durableId="2131512138">
    <w:abstractNumId w:val="23"/>
  </w:num>
  <w:num w:numId="35" w16cid:durableId="261961449">
    <w:abstractNumId w:val="0"/>
  </w:num>
  <w:num w:numId="36" w16cid:durableId="11931528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01BD7"/>
    <w:rsid w:val="00072EB1"/>
    <w:rsid w:val="00074E1C"/>
    <w:rsid w:val="000825C4"/>
    <w:rsid w:val="000825D0"/>
    <w:rsid w:val="000854DB"/>
    <w:rsid w:val="000C047C"/>
    <w:rsid w:val="000C435D"/>
    <w:rsid w:val="000E37E9"/>
    <w:rsid w:val="000F46A5"/>
    <w:rsid w:val="001246EB"/>
    <w:rsid w:val="0016383A"/>
    <w:rsid w:val="00167A7D"/>
    <w:rsid w:val="0018008A"/>
    <w:rsid w:val="001A012E"/>
    <w:rsid w:val="001B549F"/>
    <w:rsid w:val="002007CA"/>
    <w:rsid w:val="00206558"/>
    <w:rsid w:val="00210C5B"/>
    <w:rsid w:val="00230877"/>
    <w:rsid w:val="002577A6"/>
    <w:rsid w:val="00280363"/>
    <w:rsid w:val="002F2DD4"/>
    <w:rsid w:val="00326509"/>
    <w:rsid w:val="0035598F"/>
    <w:rsid w:val="00357A5C"/>
    <w:rsid w:val="003602EC"/>
    <w:rsid w:val="003F5519"/>
    <w:rsid w:val="004B1A4D"/>
    <w:rsid w:val="004B7EF5"/>
    <w:rsid w:val="004E17B1"/>
    <w:rsid w:val="004F5265"/>
    <w:rsid w:val="00512261"/>
    <w:rsid w:val="00580A55"/>
    <w:rsid w:val="005A7BDC"/>
    <w:rsid w:val="005C18B7"/>
    <w:rsid w:val="005D68FA"/>
    <w:rsid w:val="005F1FD1"/>
    <w:rsid w:val="005F5D23"/>
    <w:rsid w:val="0061247A"/>
    <w:rsid w:val="00622DA3"/>
    <w:rsid w:val="00632A73"/>
    <w:rsid w:val="00672295"/>
    <w:rsid w:val="006865B3"/>
    <w:rsid w:val="00697A22"/>
    <w:rsid w:val="006A0392"/>
    <w:rsid w:val="006A36C4"/>
    <w:rsid w:val="006B3539"/>
    <w:rsid w:val="006C1718"/>
    <w:rsid w:val="006E50E3"/>
    <w:rsid w:val="00735966"/>
    <w:rsid w:val="0076562C"/>
    <w:rsid w:val="007B2CD1"/>
    <w:rsid w:val="007D16D6"/>
    <w:rsid w:val="0081535F"/>
    <w:rsid w:val="008344D4"/>
    <w:rsid w:val="008733B0"/>
    <w:rsid w:val="008A63D3"/>
    <w:rsid w:val="008A664E"/>
    <w:rsid w:val="008F760D"/>
    <w:rsid w:val="00915447"/>
    <w:rsid w:val="00945BCB"/>
    <w:rsid w:val="00982F4C"/>
    <w:rsid w:val="00983B12"/>
    <w:rsid w:val="009A53B1"/>
    <w:rsid w:val="009D1121"/>
    <w:rsid w:val="00A03201"/>
    <w:rsid w:val="00A05B1C"/>
    <w:rsid w:val="00A13A8B"/>
    <w:rsid w:val="00A95285"/>
    <w:rsid w:val="00AB4EE7"/>
    <w:rsid w:val="00AD2385"/>
    <w:rsid w:val="00B23591"/>
    <w:rsid w:val="00B44417"/>
    <w:rsid w:val="00B44814"/>
    <w:rsid w:val="00B95B7F"/>
    <w:rsid w:val="00BD11C8"/>
    <w:rsid w:val="00C44990"/>
    <w:rsid w:val="00C66C35"/>
    <w:rsid w:val="00CA06D0"/>
    <w:rsid w:val="00CF397A"/>
    <w:rsid w:val="00D13773"/>
    <w:rsid w:val="00D6113E"/>
    <w:rsid w:val="00DA5E8E"/>
    <w:rsid w:val="00DB1940"/>
    <w:rsid w:val="00DF0748"/>
    <w:rsid w:val="00E22F80"/>
    <w:rsid w:val="00E27014"/>
    <w:rsid w:val="00E442AE"/>
    <w:rsid w:val="00E55E42"/>
    <w:rsid w:val="00E83770"/>
    <w:rsid w:val="00EE477C"/>
    <w:rsid w:val="00F17F75"/>
    <w:rsid w:val="00F5400F"/>
    <w:rsid w:val="00F549C7"/>
    <w:rsid w:val="00F74091"/>
    <w:rsid w:val="00F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table" w:styleId="TableGrid">
    <w:name w:val="Table Grid"/>
    <w:basedOn w:val="TableNormal"/>
    <w:uiPriority w:val="39"/>
    <w:rsid w:val="005F5D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2F8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5507-192C-40CD-AC4B-7D9862B9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6</cp:revision>
  <cp:lastPrinted>2026-03-10T19:38:00Z</cp:lastPrinted>
  <dcterms:created xsi:type="dcterms:W3CDTF">2026-06-02T16:05:00Z</dcterms:created>
  <dcterms:modified xsi:type="dcterms:W3CDTF">2026-06-05T22:04:00Z</dcterms:modified>
</cp:coreProperties>
</file>